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8.xml" ContentType="application/vnd.openxmlformats-officedocument.wordprocessingml.footer+xml"/>
  <Override PartName="/word/footer1.xml" ContentType="application/vnd.openxmlformats-officedocument.wordprocessingml.footer+xml"/>
  <Override PartName="/word/footer20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22.xml" ContentType="application/vnd.openxmlformats-officedocument.wordprocessingml.footer+xml"/>
  <Override PartName="/word/footer5.xml" ContentType="application/vnd.openxmlformats-officedocument.wordprocessingml.footer+xml"/>
  <Override PartName="/word/footer23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7.xml" ContentType="application/vnd.openxmlformats-officedocument.wordprocessingml.footer+xml"/>
  <Override PartName="/word/footer25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footer13.xml" ContentType="application/vnd.openxmlformats-officedocument.wordprocessingml.footer+xml"/>
  <Override PartName="/word/numbering.xml" ContentType="application/vnd.openxmlformats-officedocument.wordprocessingml.numbering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0" w:after="0"/>
        <w:contextualSpacing/>
        <w:rPr>
          <w:rFonts w:ascii="Times New Roman" w:hAnsi="Times New Roman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BodyText"/>
        <w:spacing w:before="6" w:after="0"/>
        <w:contextualSpacing/>
        <w:rPr>
          <w:rFonts w:ascii="Times New Roman" w:hAnsi="Times New Roman"/>
          <w:i w:val="false"/>
          <w:sz w:val="28"/>
        </w:rPr>
      </w:pPr>
      <w:r>
        <w:rPr>
          <w:rFonts w:ascii="Times New Roman" w:hAnsi="Times New Roman"/>
          <w:i w:val="false"/>
          <w:sz w:val="28"/>
        </w:rPr>
      </w:r>
    </w:p>
    <w:p>
      <w:pPr>
        <w:pStyle w:val="Normal"/>
        <w:spacing w:before="0" w:after="0"/>
        <w:ind w:hanging="28" w:left="851" w:right="119"/>
        <w:contextualSpacing/>
        <w:rPr>
          <w:rFonts w:ascii="Humanst521EU" w:hAnsi="Humanst521EU"/>
          <w:b/>
          <w:sz w:val="28"/>
        </w:rPr>
      </w:pPr>
      <w:r>
        <w:rPr>
          <w:rFonts w:ascii="Humanst521EU" w:hAnsi="Humanst521EU"/>
          <w:b/>
          <w:color w:val="231F20"/>
          <w:sz w:val="28"/>
          <w:shd w:fill="FFFFFF" w:val="clear"/>
        </w:rPr>
        <w:t xml:space="preserve">Wymagania edukacyjne z biologii dla klasy 7 szkoły podstawowej </w:t>
      </w:r>
      <w:r>
        <mc:AlternateContent>
          <mc:Choice Requires="wps">
            <w:drawing>
              <wp:anchor distT="0" distB="0" distL="114300" distR="114300" simplePos="0" relativeHeight="2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-622935</wp:posOffset>
                </wp:positionV>
                <wp:extent cx="612140" cy="252095"/>
                <wp:effectExtent l="0" t="0" r="0" b="0"/>
                <wp:wrapNone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140" cy="252095"/>
                        </a:xfrm>
                        <a:prstGeom prst="rect"/>
                        <a:solidFill>
                          <a:srgbClr val="00377B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42" w:after="0"/>
                              <w:ind w:right="88"/>
                              <w:jc w:val="right"/>
                              <w:rPr>
                                <w:rFonts w:ascii="Swis721BlkEU-Italic" w:hAnsi="Swis721BlkEU-Italic"/>
                              </w:rPr>
                            </w:pPr>
                            <w:r>
                              <w:rPr>
                                <w:rFonts w:ascii="Swis721BlkEU-Italic" w:hAnsi="Swis721BlkEU-Italic"/>
                                <w:color w:val="FFFFFF"/>
                              </w:rPr>
                              <w:t>24</w:t>
                            </w:r>
                          </w:p>
                        </w:txbxContent>
                      </wps:txbx>
                      <wps:bodyPr anchor="t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00377B" stroked="f" strokeweight="0pt" style="position:absolute;rotation:-0;width:48.2pt;height:19.85pt;mso-wrap-distance-left:9pt;mso-wrap-distance-right:9pt;mso-wrap-distance-top:0pt;mso-wrap-distance-bottom:0pt;margin-top:-49.05pt;mso-position-vertical-relative:text;margin-left:0.05pt;mso-position-horizontal-relative:page">
                <v:textbox inset="0in,0in,0in,0in">
                  <w:txbxContent>
                    <w:p>
                      <w:pPr>
                        <w:pStyle w:val="BodyText"/>
                        <w:spacing w:before="142" w:after="0"/>
                        <w:ind w:right="88"/>
                        <w:jc w:val="right"/>
                        <w:rPr>
                          <w:rFonts w:ascii="Swis721BlkEU-Italic" w:hAnsi="Swis721BlkEU-Italic"/>
                        </w:rPr>
                      </w:pPr>
                      <w:r>
                        <w:rPr>
                          <w:rFonts w:ascii="Swis721BlkEU-Italic" w:hAnsi="Swis721BlkEU-Italic"/>
                          <w:color w:val="FFFFFF"/>
                        </w:rPr>
                        <w:t>24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BodyText"/>
        <w:spacing w:before="0" w:after="1"/>
        <w:contextualSpacing/>
        <w:rPr>
          <w:rFonts w:ascii="Humanst521EU" w:hAnsi="Humanst521EU"/>
          <w:b/>
          <w:i w:val="false"/>
          <w:sz w:val="16"/>
        </w:rPr>
      </w:pPr>
      <w:r>
        <w:rPr>
          <w:rFonts w:ascii="Humanst521EU" w:hAnsi="Humanst521EU"/>
          <w:b/>
          <w:i w:val="false"/>
          <w:sz w:val="16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2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2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9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56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171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 – powłoka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2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1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komórkę jako podstawowy element budowy ciała człowieka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tkanka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narząd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układy narządów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1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najważniejsze funkcje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funkcje poszczególnych układów narządów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przykładowych tkanek zwierzęcych w 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tkanki narządom i układom narządów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hierarchiczną budowę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6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pod mikroskopem lub na ilustracji rodzaje tkanek zwierzęcych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budową a funkcją poszczególnych tkanek zwierzęcych</w:t>
            </w:r>
          </w:p>
          <w:p>
            <w:pPr>
              <w:pStyle w:val="TableParagraph"/>
              <w:widowControl w:val="false"/>
              <w:numPr>
                <w:ilvl w:val="0"/>
                <w:numId w:val="16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poszczególnymi układami narządów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029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2. Budowa i funkcje skóry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warstwy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funkcje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wytwory naskórka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omawia wykonane doświadczenie, wykazujące, że skóra jest narządem zmysłu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skóry i warstwy podskórnej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warstwy skóry na ilustracji lub schemacie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omawia wykonane doświadczenie, wykazujące, że skóra jest narządem zmysłu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 konkretnych przykładach związek między budową a funkcjami skóry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opisu wykonuje doświadczenie wykazujące, że skóra jest narządem zmysłu</w:t>
            </w:r>
          </w:p>
          <w:p>
            <w:pPr>
              <w:pStyle w:val="TableParagraph"/>
              <w:widowControl w:val="false"/>
              <w:numPr>
                <w:ilvl w:val="0"/>
                <w:numId w:val="16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wytworów naskórka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6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0" w:right="1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informacje i planuje doświadczenie wykazujące, że skóra jest narządem zmysłu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260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81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I. Organizm człowieka. Skóra – powłoka ciała.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3. Higiena i choroby skóry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7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konieczność dbania o dobry stan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grzybic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grzybicom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 przypadku oparzeń i odmrożeń skóry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objawy dolegliwości skóry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zależność między ekspozycją skóry na silne nasłonecznienie a rozwojem czerniaka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konsultacji lekarskiej w przypadku pojawienia się zmian na skórze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4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promieni słonecznych na skórę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informacji o środkach kosmetycznych z filtrem UV przeznaczonych dla młodzieży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zasady udzielania pierwszej pomocy w przypadku oparzeń skóry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przygotowuje pytania i przeprowadza wywiad z lekarzem lub pielęgniarką na temat chorób skóry oraz profilaktyki czerniaka i grzybicy</w:t>
            </w:r>
          </w:p>
          <w:p>
            <w:pPr>
              <w:pStyle w:val="TableParagraph"/>
              <w:widowControl w:val="false"/>
              <w:numPr>
                <w:ilvl w:val="0"/>
                <w:numId w:val="16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8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 różnych źródłach informacje do projektu edukacyjnego na temat chorób, profilaktyki i pielęgnacji skóry młodzieńczej</w:t>
            </w:r>
          </w:p>
        </w:tc>
      </w:tr>
      <w:tr>
        <w:trPr>
          <w:trHeight w:val="256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65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Aparat ruchu.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4. Aparat ruchu. Budowa szkieletu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nazwy wskazanych elementów budowy szkieletu</w:t>
            </w:r>
          </w:p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część bierną i czynną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części bierną i czynną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schemacie, rysunku i modelu szkielet osiowy oraz szkielet obręczy i kończyn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części bierneji czynnej aparatu ruchu</w:t>
            </w:r>
          </w:p>
          <w:p>
            <w:pPr>
              <w:pStyle w:val="TableParagraph"/>
              <w:widowControl w:val="false"/>
              <w:numPr>
                <w:ilvl w:val="0"/>
                <w:numId w:val="16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związek budowy kości z ich funkcją w 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kości z ich funkcją w organizmie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różne kształty kości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podane kości pod względem kształtów</w:t>
            </w:r>
          </w:p>
          <w:p>
            <w:pPr>
              <w:pStyle w:val="TableParagraph"/>
              <w:widowControl w:val="false"/>
              <w:numPr>
                <w:ilvl w:val="0"/>
                <w:numId w:val="1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wykazuje związek budowy kości z ich funkcją</w:t>
            </w:r>
          </w:p>
        </w:tc>
      </w:tr>
      <w:tr>
        <w:trPr>
          <w:trHeight w:val="1265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5. Budowa kości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16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nazwy kształtów kości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2" w:leader="none"/>
              </w:tabs>
              <w:spacing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funkcje elementów budowy kości</w:t>
            </w:r>
          </w:p>
          <w:p>
            <w:pPr>
              <w:pStyle w:val="TableParagraph"/>
              <w:widowControl w:val="false"/>
              <w:numPr>
                <w:ilvl w:val="0"/>
                <w:numId w:val="159"/>
              </w:numPr>
              <w:tabs>
                <w:tab w:val="clear" w:pos="720"/>
                <w:tab w:val="left" w:pos="222" w:leader="none"/>
              </w:tabs>
              <w:spacing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zmiany zachodzące w obrębie kości człowieka wraz z wiekiem</w:t>
            </w:r>
          </w:p>
          <w:p>
            <w:pPr>
              <w:pStyle w:val="TableParagraph"/>
              <w:widowControl w:val="false"/>
              <w:numPr>
                <w:ilvl w:val="0"/>
                <w:numId w:val="15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typy tkanki kostnej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0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pomiędzy budową kości a funkcją</w:t>
            </w:r>
          </w:p>
          <w:p>
            <w:pPr>
              <w:pStyle w:val="TableParagraph"/>
              <w:widowControl w:val="false"/>
              <w:numPr>
                <w:ilvl w:val="0"/>
                <w:numId w:val="15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zmiany zachodzące w obrębie szkieletu człowieka wraz z wiekiem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1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2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oba typy szpiku kostnego</w:t>
            </w:r>
          </w:p>
          <w:p>
            <w:pPr>
              <w:pStyle w:val="TableParagraph"/>
              <w:widowControl w:val="false"/>
              <w:numPr>
                <w:ilvl w:val="0"/>
                <w:numId w:val="15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udowadnia  wytrzymałość kości na złamanie</w:t>
            </w:r>
          </w:p>
        </w:tc>
      </w:tr>
    </w:tbl>
    <w:p>
      <w:pPr>
        <w:sectPr>
          <w:type w:val="continuous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81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II. Układ ruchu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23" w:right="323"/>
              <w:contextualSpacing/>
              <w:jc w:val="lef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6. Budowa i rola szkieletu osiowego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budujące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odcinki kręgosłupa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4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modelu lub ilustracji mózgoczaszkę i trzewioczaszkę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chronione przez klatkę piersiową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schemacie, rysunku i 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3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poszczególnych elementów 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4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szkieletu osiowego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czaszki z 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chrząstek w budowie klatki piersiowej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poszczególnych odcinków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mózgoczaszki i trzewioczaszki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2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budowy poszczególnych kręgów kręgosłupa z pełnioną przez nie funkcją</w:t>
            </w:r>
          </w:p>
          <w:p>
            <w:pPr>
              <w:pStyle w:val="TableParagraph"/>
              <w:widowControl w:val="false"/>
              <w:numPr>
                <w:ilvl w:val="0"/>
                <w:numId w:val="15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odcinków kręgosłupa z pełnioną przez nie funkcją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054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72" w:left="219" w:right="28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7. Szkielet kończyn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szkieletu kończyn oraz ich obręczy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połączeń kości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rodzaje stawów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modelu lub schemacie kości kończyny górnej i kończyny dolnej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stawu</w:t>
            </w:r>
          </w:p>
          <w:p>
            <w:pPr>
              <w:pStyle w:val="TableParagraph"/>
              <w:widowControl w:val="false"/>
              <w:numPr>
                <w:ilvl w:val="0"/>
                <w:numId w:val="153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2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staw zawiasowy od stawu kulistego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kości tworzące obręcze: barkową i miedniczną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kończyny górnej i dolnej</w:t>
            </w:r>
          </w:p>
          <w:p>
            <w:pPr>
              <w:pStyle w:val="TableParagraph"/>
              <w:widowControl w:val="false"/>
              <w:numPr>
                <w:ilvl w:val="0"/>
                <w:numId w:val="152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0" w:right="26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połączenia kości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0" w:left="220" w:right="2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szkieletu kończyn z funkcjami kończyn: górnej i dolnej</w:t>
            </w:r>
          </w:p>
          <w:p>
            <w:pPr>
              <w:pStyle w:val="TableParagraph"/>
              <w:widowControl w:val="false"/>
              <w:numPr>
                <w:ilvl w:val="0"/>
                <w:numId w:val="15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budowy stawu z zakresem ruchu kończyny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kończyn: górnej i dolnej oraz wykazuje ich związek z funkcjonowaniem człowieka w środowisku</w:t>
            </w:r>
          </w:p>
        </w:tc>
      </w:tr>
      <w:tr>
        <w:trPr>
          <w:trHeight w:val="226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59" w:left="208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8. Budowa i rola mięśni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3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  <w:tab w:val="left" w:pos="1706" w:leader="none"/>
              </w:tabs>
              <w:spacing w:lineRule="auto" w:line="235" w:before="0" w:after="0"/>
              <w:ind w:hanging="170" w:left="220" w:right="5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położenie w organizmie człowieka tkanek: mięśniowej gładkiej i mięśniowej poprzecznie prążkowanej szkieletowej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1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funkcje wskazanych mięśni szkieletowych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6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cechy tkanki mięśniowej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 pomocą nauczyciela wskazuje na ilustracji najważniejsze mięśnie szkieletowe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5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mięśnie szkieletowe wskazane na ilustracji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26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czynności mięśni wskazanych na schemacie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warunki prawidłowej pracy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warunki prawidłowej pracy mięśni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3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budowę i funkcje mięśni gładkich i poprzecznie prążkowanych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0" w:right="3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mięśni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0" w:left="220" w:right="1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przykładzie własnego organizmu analizuje współdziałanie mięśni, ścięgien, kości i stawów w wykonywaniu ruchów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260" w:hRule="atLeast"/>
        </w:trPr>
        <w:tc>
          <w:tcPr>
            <w:tcW w:w="624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159" w:left="208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9. Higiena i choroby układu ruchu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pacing w:lineRule="auto" w:line="235" w:before="61" w:after="0"/>
              <w:ind w:hanging="170" w:left="220" w:right="4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20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20" w:right="2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exact" w:line="202" w:before="0" w:after="0"/>
              <w:ind w:hanging="0" w:left="2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0" w:right="2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przedstawione na ilustracji wady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urazy mechaniczne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0" w:right="2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udzielania pierwszej pomocy w 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0" w:right="2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aparatu ruchu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20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naturalne krzywizny kręgosłupa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powstawania wad postawy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zmiany zachodzące wraz z wiekiem w układzie kostnym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czynniki wpływające na prawidłowy rozwój muskulatury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20" w:right="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demonstruje czynności udzielania pierwszej pomocy w przypadku urazów mechanicznych kończyn</w:t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prezentuje prawidłową postawę siedzenia zapobiegającą  deformacjom kręgosłupa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49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49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regularnych ćwiczeń gimnastycznych dla prawidłowego funkcjonowania aparatu ruchu</w:t>
            </w:r>
          </w:p>
        </w:tc>
      </w:tr>
    </w:tbl>
    <w:p>
      <w:pPr>
        <w:sectPr>
          <w:footerReference w:type="default" r:id="rId5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777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64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19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składniki odżywcze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4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produkty spożywcze zawierające białko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6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pokarmów, które są źródłem cukrów</w:t>
            </w:r>
          </w:p>
          <w:p>
            <w:pPr>
              <w:pStyle w:val="TableParagraph"/>
              <w:widowControl w:val="false"/>
              <w:numPr>
                <w:ilvl w:val="0"/>
                <w:numId w:val="147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6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pokarmy zawierające tłuszcze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klasyfikuje składniki odżywcze na budulcowe i energetyczne</w:t>
            </w:r>
          </w:p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pokarmy zawierające te składniki</w:t>
            </w:r>
          </w:p>
          <w:p>
            <w:pPr>
              <w:pStyle w:val="TableParagraph"/>
              <w:widowControl w:val="false"/>
              <w:numPr>
                <w:ilvl w:val="0"/>
                <w:numId w:val="1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rolę tłuszczów w organizmie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pacing w:lineRule="auto" w:line="230" w:before="65" w:after="0"/>
              <w:ind w:hanging="170" w:left="221" w:right="3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składników odżywczych dla organizmu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pacing w:lineRule="auto" w:line="230" w:before="0" w:after="0"/>
              <w:ind w:hanging="170" w:left="221" w:right="2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błonnika w prawidłowym funkcjonowaniu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pacing w:lineRule="auto" w:line="230" w:before="0" w:after="0"/>
              <w:ind w:hanging="170" w:left="221" w:right="4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systematycznego spożywania owoców</w:t>
            </w:r>
          </w:p>
          <w:p>
            <w:pPr>
              <w:pStyle w:val="TableParagraph"/>
              <w:widowControl w:val="false"/>
              <w:spacing w:lineRule="exact" w:line="19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 warzyw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2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na przykładach źródła składników odżywczych i wyjaśnia ich znaczenie dla organizmu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spożywaniem produktów białkowych a prawidłowym wzrostem ciała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zależność między rodzajami spożywanych pokarmów a 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13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informacje dotyczące roli błonnika w prawidłowym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funkcjonowaniu przewodu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218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59" w:after="0"/>
              <w:ind w:hanging="258" w:left="306" w:right="297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11. Witaminy, sole mineralne, woda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8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witamin rozpuszczalnych w wodzie i w tłuszczach</w:t>
            </w:r>
          </w:p>
          <w:p>
            <w:pPr>
              <w:pStyle w:val="TableParagraph"/>
              <w:widowControl w:val="false"/>
              <w:numPr>
                <w:ilvl w:val="0"/>
                <w:numId w:val="14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5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wodę jako ważny składnik organizmu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2" w:leader="none"/>
              </w:tabs>
              <w:spacing w:lineRule="auto" w:line="235" w:before="59" w:after="0"/>
              <w:ind w:hanging="170" w:left="221" w:right="3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wszystkie  witaminy rozpuszczalne w wodzie i w tłuszczach</w:t>
            </w:r>
          </w:p>
          <w:p>
            <w:pPr>
              <w:pStyle w:val="TableParagraph"/>
              <w:widowControl w:val="false"/>
              <w:numPr>
                <w:ilvl w:val="0"/>
                <w:numId w:val="14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7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makroelementów i mikroelementów w organizmie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3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1" w:leader="none"/>
              </w:tabs>
              <w:spacing w:lineRule="auto" w:line="235" w:before="59" w:after="0"/>
              <w:ind w:hanging="170" w:left="220" w:right="4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witamin</w:t>
            </w:r>
          </w:p>
          <w:p>
            <w:pPr>
              <w:pStyle w:val="TableParagraph"/>
              <w:widowControl w:val="false"/>
              <w:numPr>
                <w:ilvl w:val="0"/>
                <w:numId w:val="141"/>
              </w:numPr>
              <w:tabs>
                <w:tab w:val="clear" w:pos="720"/>
                <w:tab w:val="left" w:pos="222" w:leader="none"/>
              </w:tabs>
              <w:spacing w:lineRule="exact" w:line="176" w:before="0" w:after="0"/>
              <w:ind w:hanging="17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makroelementów: Mg, Fe, Ca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11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0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7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niedoboru wody w organizmie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mikro- i makroelementów</w:t>
            </w:r>
          </w:p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wartość energetyczną węglowodanów i tłuszczów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skutki nadmiernego spożywania tłuszczów</w:t>
            </w:r>
          </w:p>
          <w:p>
            <w:pPr>
              <w:pStyle w:val="TableParagraph"/>
              <w:widowControl w:val="false"/>
              <w:numPr>
                <w:ilvl w:val="0"/>
                <w:numId w:val="145"/>
              </w:numPr>
              <w:tabs>
                <w:tab w:val="clear" w:pos="720"/>
                <w:tab w:val="left" w:pos="222" w:leader="none"/>
              </w:tabs>
              <w:spacing w:lineRule="auto" w:line="230" w:before="4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etykiety produktów spożywczych pod kątem zawartości różnych składników odżywczych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3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43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652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I</w:t>
            </w: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II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44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12. Budowa i rola układu pokarmowego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trawienie pokarmów</w:t>
            </w:r>
          </w:p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2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zębów u człowieka</w:t>
            </w:r>
          </w:p>
          <w:p>
            <w:pPr>
              <w:pStyle w:val="TableParagraph"/>
              <w:widowControl w:val="false"/>
              <w:numPr>
                <w:ilvl w:val="0"/>
                <w:numId w:val="13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przewodu pokarmowego człowieka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1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poszczególnych rodzajów zębów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odcinki przewodu pokarmowego na planszy lub modelu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wątrobę i trzustkę na schemacie</w:t>
            </w:r>
          </w:p>
          <w:p>
            <w:pPr>
              <w:pStyle w:val="TableParagraph"/>
              <w:widowControl w:val="false"/>
              <w:numPr>
                <w:ilvl w:val="0"/>
                <w:numId w:val="137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wątroby i trzustki we własnym ciele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7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rodzaje zębów człowieka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odcinki przewodu pokarmowego i wskazuje odpowiednie miejsca na powierzchni swojego ciała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 budowę i funkcje gruczołów trawiennych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2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poszczególnych odcinków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6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zębów w mechanicznej obróbce pokarmu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procesu trawienia</w:t>
            </w:r>
          </w:p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etapy trawienia pokarmów w poszczególnych odcinkach przewodu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miejsca wchłaniania strawionego pokarmu i wody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4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53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235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13. Higiena i choroby układu pokarmowego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pacing w:lineRule="auto" w:line="235" w:before="61" w:after="0"/>
              <w:ind w:hanging="170" w:left="218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zasady zdrowego żywienia i higieny żywności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profilaktyki chorób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3"/>
              </w:numPr>
              <w:tabs>
                <w:tab w:val="clear" w:pos="720"/>
                <w:tab w:val="left" w:pos="219" w:leader="none"/>
              </w:tabs>
              <w:spacing w:lineRule="auto" w:line="235" w:before="0" w:after="0"/>
              <w:ind w:hanging="170" w:left="218" w:right="38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próchnicy zębów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grupy pokarmów w piramidzie zdrowego żywienia i aktywności fizycznej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zależność diety od 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układa jadłospis w zależności od zmiennych warunków zewnętrznych</w:t>
            </w:r>
          </w:p>
          <w:p>
            <w:pPr>
              <w:pStyle w:val="TableParagraph"/>
              <w:widowControl w:val="false"/>
              <w:numPr>
                <w:ilvl w:val="0"/>
                <w:numId w:val="13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pokarmowego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8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pacing w:lineRule="auto" w:line="238" w:before="59" w:after="0"/>
              <w:ind w:hanging="170" w:left="220" w:right="226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znaczenie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wartość energetyczna pokarmu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dietą a czynnikami, któreją warunkują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4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przewiduje skutki złego odżywiania się</w:t>
            </w:r>
          </w:p>
          <w:p>
            <w:pPr>
              <w:pStyle w:val="TableParagraph"/>
              <w:widowControl w:val="false"/>
              <w:numPr>
                <w:ilvl w:val="0"/>
                <w:numId w:val="13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profilaktyki, raka jelita grubego oraz WZW A, WZW B i WZW C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higieną odżywiania się a chorobami układu pokarmowego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próchnicy zębów</w:t>
            </w:r>
          </w:p>
          <w:p>
            <w:pPr>
              <w:pStyle w:val="TableParagraph"/>
              <w:widowControl w:val="false"/>
              <w:numPr>
                <w:ilvl w:val="0"/>
                <w:numId w:val="130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dlaczego należy stosować zróżnicowaną i dostosowaną do potrzeb organizmu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prezentuje wystąpienie w dowolnej formie na temat chorób związanych z zaburzeniami łaknienia i 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badań przesiewowych w celu wykrywania wczesnych stadiów raka jelita grubego</w:t>
            </w:r>
          </w:p>
          <w:p>
            <w:pPr>
              <w:pStyle w:val="TableParagraph"/>
              <w:widowControl w:val="false"/>
              <w:numPr>
                <w:ilvl w:val="0"/>
                <w:numId w:val="13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stosowania zróżnicowanej diety dostosowanej do potrzeb organizmu</w:t>
            </w:r>
          </w:p>
          <w:p>
            <w:pPr>
              <w:pStyle w:val="TableParagraph"/>
              <w:widowControl w:val="false"/>
              <w:numPr>
                <w:ilvl w:val="0"/>
                <w:numId w:val="12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dbania o zęby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57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0"/>
        <w:gridCol w:w="2269"/>
        <w:gridCol w:w="2127"/>
        <w:gridCol w:w="2410"/>
        <w:gridCol w:w="2267"/>
        <w:gridCol w:w="2280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53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405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74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7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14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14. Budowa i funkcje krwi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128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2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12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krwi</w:t>
            </w:r>
          </w:p>
          <w:p>
            <w:pPr>
              <w:pStyle w:val="TableParagraph"/>
              <w:widowControl w:val="false"/>
              <w:numPr>
                <w:ilvl w:val="0"/>
                <w:numId w:val="127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grupy krwi i wyjaśnia, co stanowi</w:t>
            </w:r>
          </w:p>
          <w:p>
            <w:pPr>
              <w:pStyle w:val="TableParagraph"/>
              <w:widowControl w:val="false"/>
              <w:spacing w:lineRule="exact" w:line="202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podstawę ich wyodrębnienia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221" w:right="1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41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krwi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4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elementy morfotyczne krwi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hemoglobiny</w:t>
            </w:r>
          </w:p>
          <w:p>
            <w:pPr>
              <w:pStyle w:val="TableParagraph"/>
              <w:widowControl w:val="false"/>
              <w:numPr>
                <w:ilvl w:val="0"/>
                <w:numId w:val="126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społeczne znaczenie krwiodawstwa</w:t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krzepnięcia krwi</w:t>
            </w:r>
          </w:p>
          <w:p>
            <w:pPr>
              <w:pStyle w:val="TableParagraph"/>
              <w:widowControl w:val="false"/>
              <w:numPr>
                <w:ilvl w:val="0"/>
                <w:numId w:val="12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morfotyczne krwi na podstawie obserwacji mikroskopowej</w:t>
            </w:r>
          </w:p>
        </w:tc>
        <w:tc>
          <w:tcPr>
            <w:tcW w:w="22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i interpretuje  wyniki laboratoryjnego badania krwi</w:t>
            </w:r>
          </w:p>
          <w:p>
            <w:pPr>
              <w:pStyle w:val="TableParagraph"/>
              <w:widowControl w:val="false"/>
              <w:numPr>
                <w:ilvl w:val="0"/>
                <w:numId w:val="12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transfuzji krwi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5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15. Krążenie krwi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2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omawia na podstawie ilustracji mały i duży obieg krwi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wybranego naczynia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budowę i funkcje żył, tętnic oraz naczyń włosowatych</w:t>
            </w:r>
          </w:p>
          <w:p>
            <w:pPr>
              <w:pStyle w:val="TableParagraph"/>
              <w:widowControl w:val="false"/>
              <w:numPr>
                <w:ilvl w:val="0"/>
                <w:numId w:val="122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zastawek żylnych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krwiobiegi: mały i duży</w:t>
            </w:r>
          </w:p>
          <w:p>
            <w:pPr>
              <w:pStyle w:val="TableParagraph"/>
              <w:widowControl w:val="false"/>
              <w:numPr>
                <w:ilvl w:val="0"/>
                <w:numId w:val="12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2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drogę krwi płynącej w małym i dużym krwiobiegu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poszczególne naczynia krwionośne na ilustracji</w:t>
            </w:r>
          </w:p>
          <w:p>
            <w:pPr>
              <w:pStyle w:val="TableParagraph"/>
              <w:widowControl w:val="false"/>
              <w:numPr>
                <w:ilvl w:val="0"/>
                <w:numId w:val="120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naczyń krwionośnych z pełnionymi przez nie funkcjami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przepływu krwi w naczyniach z wymianą gazową</w:t>
            </w:r>
          </w:p>
        </w:tc>
      </w:tr>
      <w:tr>
        <w:trPr>
          <w:trHeight w:val="196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16. Budowa i działanie serca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lokalizuje położenie serca we własnym ciele</w:t>
            </w:r>
          </w:p>
          <w:p>
            <w:pPr>
              <w:pStyle w:val="TableParagraph"/>
              <w:widowControl w:val="false"/>
              <w:numPr>
                <w:ilvl w:val="0"/>
                <w:numId w:val="11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serca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jest puls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3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elementy budowy serca i naczynia krwionośnego na schemacie (ilustracji z podręcznika)</w:t>
            </w:r>
          </w:p>
          <w:p>
            <w:pPr>
              <w:pStyle w:val="TableParagraph"/>
              <w:widowControl w:val="false"/>
              <w:numPr>
                <w:ilvl w:val="0"/>
                <w:numId w:val="117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prawidłową wartość pulsu i ciśnienia zdrowego człowieka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mechanizm pracy serca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fazy cyklu pracy serca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mierzy koledze puls</w:t>
            </w:r>
          </w:p>
          <w:p>
            <w:pPr>
              <w:pStyle w:val="TableParagraph"/>
              <w:widowControl w:val="false"/>
              <w:numPr>
                <w:ilvl w:val="0"/>
                <w:numId w:val="116"/>
              </w:numPr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170" w:left="220" w:right="3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ciśnieniem skurczowym a ciśnieniem rozkurczowym krwi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rolę zastawek w funkcjonowaniu serca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doświadczenie wykazujące wpływ wysiłku fizycznego na zmiany tętna i ciśnienia krwi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przeprowadza doświadczenie wykazujące wpływ wysiłku fizycznego na zmiany tętna i ciśnienia krwi</w:t>
            </w:r>
          </w:p>
          <w:p>
            <w:pPr>
              <w:pStyle w:val="TableParagraph"/>
              <w:widowControl w:val="false"/>
              <w:numPr>
                <w:ilvl w:val="0"/>
                <w:numId w:val="11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wartości ciśnienia skurczowego i ciśnienia rozkurczowego krwi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2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23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17. Higiena i choroby układu krwionośnego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2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pierwszą pomoc w wypadku krwawień i krwotoków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1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2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4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korzystnie na funkcjonowanie układu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  <w:tab w:val="left" w:pos="1988" w:leader="none"/>
              </w:tabs>
              <w:spacing w:lineRule="auto" w:line="235" w:before="61" w:after="0"/>
              <w:ind w:hanging="170" w:left="219" w:right="1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przyczyny chorób układu krwionośnego</w:t>
            </w:r>
          </w:p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4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objawy krwotoku żylnego i tętniczego</w:t>
            </w:r>
          </w:p>
          <w:p>
            <w:pPr>
              <w:pStyle w:val="TableParagraph"/>
              <w:widowControl w:val="false"/>
              <w:numPr>
                <w:ilvl w:val="0"/>
                <w:numId w:val="111"/>
              </w:numPr>
              <w:tabs>
                <w:tab w:val="clear" w:pos="720"/>
                <w:tab w:val="left" w:pos="220" w:leader="none"/>
              </w:tabs>
              <w:spacing w:lineRule="auto" w:line="235" w:before="1" w:after="0"/>
              <w:ind w:hanging="170" w:left="219" w:right="4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i prawidłowej diety dla właściwego funkcjonowania układu krwionośnego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5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pierwszą pomoc w wypadku krwotoków</w:t>
            </w:r>
          </w:p>
          <w:p>
            <w:pPr>
              <w:pStyle w:val="TableParagraph"/>
              <w:widowControl w:val="false"/>
              <w:numPr>
                <w:ilvl w:val="0"/>
                <w:numId w:val="11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badań profilaktycznych chorób układu krwionośnego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9"/>
              </w:numPr>
              <w:tabs>
                <w:tab w:val="clear" w:pos="720"/>
                <w:tab w:val="left" w:pos="220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i prezentuje w dowolnej formie materiały edukacyjne oświaty zdrowotnej na temat chorób społecznych: miażdżycy, nadciśnienia tętniczego</w:t>
            </w:r>
            <w:r>
              <w:rPr>
                <w:iCs/>
                <w:kern w:val="0"/>
                <w:sz w:val="17"/>
                <w:szCs w:val="22"/>
                <w:lang w:eastAsia="en-US" w:bidi="ar-SA"/>
              </w:rPr>
              <w:t>i </w:t>
            </w:r>
            <w:r>
              <w:rPr>
                <w:kern w:val="0"/>
                <w:sz w:val="17"/>
                <w:szCs w:val="22"/>
                <w:lang w:eastAsia="en-US" w:bidi="ar-SA"/>
              </w:rPr>
              <w:t>zawałów serca</w:t>
            </w:r>
          </w:p>
        </w:tc>
      </w:tr>
      <w:tr>
        <w:trPr>
          <w:trHeight w:val="416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4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18. Układ limfatyczny</w:t>
            </w:r>
          </w:p>
          <w:p>
            <w:pPr>
              <w:pStyle w:val="TableParagraph"/>
              <w:widowControl w:val="false"/>
              <w:spacing w:before="57" w:after="0"/>
              <w:ind w:hanging="0" w:left="4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(Układ odpornościowy)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cechy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8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 narządy tworzące  układ</w:t>
            </w:r>
          </w:p>
        </w:tc>
        <w:tc>
          <w:tcPr>
            <w:tcW w:w="212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7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5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węzłów chłonnych</w:t>
            </w:r>
          </w:p>
        </w:tc>
        <w:tc>
          <w:tcPr>
            <w:tcW w:w="241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7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6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7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przykładową lokalizację węzłów chłonnych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5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lub schemacie narządy układu limfatycznego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układ limfatyczny z układem krwionośnym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0" w:left="219" w:right="2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wykazuje, że układy krwionośny i limfatyczny stanowią integralną całość</w:t>
            </w:r>
          </w:p>
          <w:p>
            <w:pPr>
              <w:pStyle w:val="TableParagraph"/>
              <w:widowControl w:val="false"/>
              <w:numPr>
                <w:ilvl w:val="0"/>
                <w:numId w:val="104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7"/>
                <w:szCs w:val="22"/>
                <w:lang w:eastAsia="en-US" w:bidi="ar-SA"/>
              </w:rPr>
              <w:t>wyjaśnia mechanizm powstawania chłonki</w:t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78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spacing w:val="-23"/>
                <w:kern w:val="0"/>
                <w:sz w:val="17"/>
                <w:szCs w:val="22"/>
                <w:lang w:eastAsia="en-US" w:bidi="ar-SA"/>
              </w:rPr>
              <w:t>IV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19. Budowa i 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 rolę szczepionki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odporności wrodzoną  i nabytą</w:t>
            </w:r>
          </w:p>
          <w:p>
            <w:pPr>
              <w:pStyle w:val="TableParagraph"/>
              <w:widowControl w:val="false"/>
              <w:numPr>
                <w:ilvl w:val="0"/>
                <w:numId w:val="10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elementów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rodzaje odporności</w:t>
            </w:r>
          </w:p>
          <w:p>
            <w:pPr>
              <w:pStyle w:val="TableParagraph"/>
              <w:widowControl w:val="false"/>
              <w:numPr>
                <w:ilvl w:val="0"/>
                <w:numId w:val="10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zasadę działania szczepionki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0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rodzaje leukocytów</w:t>
            </w:r>
          </w:p>
          <w:p>
            <w:pPr>
              <w:pStyle w:val="TableParagraph"/>
              <w:widowControl w:val="false"/>
              <w:numPr>
                <w:ilvl w:val="0"/>
                <w:numId w:val="169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739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obowiązkowych szczepień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221" w:right="3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wykaz szczepień w swojej książeczce zdrowia</w:t>
            </w:r>
          </w:p>
          <w:p>
            <w:pPr>
              <w:pStyle w:val="TableParagraph"/>
              <w:widowControl w:val="false"/>
              <w:numPr>
                <w:ilvl w:val="0"/>
                <w:numId w:val="99"/>
              </w:numPr>
              <w:tabs>
                <w:tab w:val="clear" w:pos="720"/>
                <w:tab w:val="left" w:pos="222" w:leader="none"/>
              </w:tabs>
              <w:spacing w:lineRule="exact" w:line="206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znaczenie szczepień</w:t>
            </w:r>
          </w:p>
        </w:tc>
      </w:tr>
      <w:tr>
        <w:trPr>
          <w:trHeight w:val="13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 w:right="73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20. Zaburzenia funkcjonowania układu odpornościowego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mogące wywołać alergie</w:t>
            </w:r>
          </w:p>
          <w:p>
            <w:pPr>
              <w:pStyle w:val="TableParagraph"/>
              <w:widowControl w:val="false"/>
              <w:numPr>
                <w:ilvl w:val="0"/>
                <w:numId w:val="98"/>
              </w:numPr>
              <w:tabs>
                <w:tab w:val="clear" w:pos="720"/>
                <w:tab w:val="left" w:pos="222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alergii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przyczynę choroby AIDS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transplantacja narządów</w:t>
            </w:r>
          </w:p>
          <w:p>
            <w:pPr>
              <w:pStyle w:val="TableParagraph"/>
              <w:widowControl w:val="false"/>
              <w:numPr>
                <w:ilvl w:val="0"/>
                <w:numId w:val="9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przykładynarządów, które można przeszczepiać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1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zakażeń HIV</w:t>
            </w:r>
          </w:p>
          <w:p>
            <w:pPr>
              <w:pStyle w:val="TableParagraph"/>
              <w:widowControl w:val="false"/>
              <w:numPr>
                <w:ilvl w:val="0"/>
                <w:numId w:val="9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zasady profilaktyki zakażeń HIV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alergia jest związana z nadwrażliwością układu odpornościowego</w:t>
            </w:r>
          </w:p>
          <w:p>
            <w:pPr>
              <w:pStyle w:val="TableParagraph"/>
              <w:widowControl w:val="false"/>
              <w:numPr>
                <w:ilvl w:val="0"/>
                <w:numId w:val="9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przykładami znaczenie transplantologii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przeszczepów</w:t>
            </w:r>
          </w:p>
          <w:p>
            <w:pPr>
              <w:pStyle w:val="TableParagraph"/>
              <w:widowControl w:val="false"/>
              <w:numPr>
                <w:ilvl w:val="0"/>
                <w:numId w:val="9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wyrażanie zgody na transplantację narządów po śmierci</w:t>
            </w:r>
          </w:p>
        </w:tc>
      </w:tr>
      <w:tr>
        <w:trPr>
          <w:trHeight w:val="154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2173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V. Układ oddechowy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64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21. Budowa i rola układu oddechowego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odcinki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9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narządy układu oddechowego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rolę nagłośni</w:t>
            </w:r>
          </w:p>
          <w:p>
            <w:pPr>
              <w:pStyle w:val="TableParagraph"/>
              <w:widowControl w:val="false"/>
              <w:numPr>
                <w:ilvl w:val="0"/>
                <w:numId w:val="92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własnego organizmu przedstawia mechanizm wentylacji płuc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drogi oddechowe i narządy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9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układu oddechowego z pełnionymi funkcjami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głośnię i nagłośnię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3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mechanizm modulacji głosu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płuca jako miejsce zachodzenia wymiany gazowej</w:t>
            </w:r>
          </w:p>
          <w:p>
            <w:pPr>
              <w:pStyle w:val="TableParagraph"/>
              <w:widowControl w:val="false"/>
              <w:numPr>
                <w:ilvl w:val="0"/>
                <w:numId w:val="9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między budową a funkcją płuc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 dowolnych materiałów model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odpowiednie metody i bada pojemność własnych płuc</w:t>
            </w:r>
          </w:p>
        </w:tc>
      </w:tr>
      <w:tr>
        <w:trPr>
          <w:trHeight w:val="3675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23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22. Mechanizm oddychania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biorące udział w procesie wentylacji płuc</w:t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6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demonstruje na sobie mechanizm wdechu i wydechu</w:t>
            </w:r>
          </w:p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pacing w:lineRule="auto" w:line="226" w:before="11" w:after="0"/>
              <w:ind w:hanging="170" w:left="221" w:right="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omawia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3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02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różnice w ruchach klatki piersiowej i przepony podczas wdechu i wydechu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krwi w transporcie gazów oddechowych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zawartość gazów w powietrzu wdychanym i wydychanym</w:t>
            </w:r>
          </w:p>
          <w:p>
            <w:pPr>
              <w:pStyle w:val="TableParagraph"/>
              <w:widowControl w:val="false"/>
              <w:numPr>
                <w:ilvl w:val="0"/>
                <w:numId w:val="87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95"/>
              <w:contextualSpacing/>
              <w:jc w:val="left"/>
              <w:rPr>
                <w:sz w:val="12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 pomocą nauczyciela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  <w:p>
            <w:pPr>
              <w:pStyle w:val="TableParagraph"/>
              <w:widowControl w:val="false"/>
              <w:spacing w:lineRule="exact" w:line="17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7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 procesy wentylacji płuc i 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pacing w:lineRule="auto" w:line="221" w:before="10" w:after="0"/>
              <w:ind w:hanging="170" w:left="221" w:right="9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dyfuzję 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i 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zachodzącą w pęcherzykach płucnych</w:t>
            </w:r>
          </w:p>
          <w:p>
            <w:pPr>
              <w:pStyle w:val="TableParagraph"/>
              <w:widowControl w:val="false"/>
              <w:numPr>
                <w:ilvl w:val="0"/>
                <w:numId w:val="8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przygotowanym sprzęcie samodzielnie przeprowadza doświadczenie wykrywające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w 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8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znaczenie oddychania komórkowego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wyniki doświadczenia wykrywającego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w wydychanym powietrzu</w:t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proces wymiany gazowej w płucach i tkankach</w:t>
            </w:r>
          </w:p>
          <w:p>
            <w:pPr>
              <w:pStyle w:val="TableParagraph"/>
              <w:widowControl w:val="false"/>
              <w:numPr>
                <w:ilvl w:val="0"/>
                <w:numId w:val="8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samodzielnie przygotowuje zestaw laboratoryjny i przeprowadza doświadczenie wykazujące obecność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 xml:space="preserve">2 </w:t>
            </w:r>
            <w:r>
              <w:rPr>
                <w:kern w:val="0"/>
                <w:sz w:val="17"/>
                <w:szCs w:val="22"/>
                <w:lang w:eastAsia="en-US" w:bidi="ar-SA"/>
              </w:rPr>
              <w:t>w wydychanym powietrzu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mitochondrium jako miejsce oddychania komórkowego</w:t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zależność między ilością mitochondriów a zapotrzebowaniem narządów na energię</w:t>
            </w:r>
          </w:p>
          <w:p>
            <w:pPr>
              <w:pStyle w:val="TableParagraph"/>
              <w:widowControl w:val="false"/>
              <w:numPr>
                <w:ilvl w:val="0"/>
                <w:numId w:val="8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zapisuje za pomocą symboli chemicznych równanie reakcji ilustrujące utlenianie glukozy</w:t>
            </w:r>
          </w:p>
        </w:tc>
      </w:tr>
    </w:tbl>
    <w:p>
      <w:pPr>
        <w:sectPr>
          <w:footerReference w:type="default" r:id="rId12"/>
          <w:footerReference w:type="first" r:id="rId13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160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1" w:after="0"/>
              <w:ind w:hanging="0" w:left="209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13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23. Higiena i choroby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wpływające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źródła infekcji górnych i dolnych dróg oddechowych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sposoby zapobiegania chorobom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2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wybranych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33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związek między wdychaniem powietrza przez nos a profilaktyką chorób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czynne i bierne palenie tytoniu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pacing w:lineRule="auto" w:line="235" w:before="1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wpływ palenia tytoniu na funkcjonowanie układu oddechowego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 dowolnych źródłach informacje 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5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wywiad w przychodni zdrowia na temat profilaktyki chorób płuc</w:t>
            </w:r>
          </w:p>
          <w:p>
            <w:pPr>
              <w:pStyle w:val="TableParagraph"/>
              <w:widowControl w:val="false"/>
              <w:numPr>
                <w:ilvl w:val="0"/>
                <w:numId w:val="8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5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 zależności między skażeniem pyłowym  środowiska a zachorowalnością na  choroby układu oddechowego</w:t>
            </w:r>
          </w:p>
          <w:p>
            <w:pPr>
              <w:pStyle w:val="TableParagraph"/>
              <w:widowControl w:val="false"/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086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73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VI. Układ moczowy i wydalanie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24. Budowa i działanie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substancji, które są wydalane przez organizm człowieka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narządy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pojęcia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wydalanie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1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 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defekacja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2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drogi wydalania zbędnych produktów przemiany materii</w:t>
            </w:r>
          </w:p>
          <w:p>
            <w:pPr>
              <w:pStyle w:val="TableParagraph"/>
              <w:widowControl w:val="false"/>
              <w:numPr>
                <w:ilvl w:val="0"/>
                <w:numId w:val="80"/>
              </w:numPr>
              <w:tabs>
                <w:tab w:val="clear" w:pos="720"/>
                <w:tab w:val="left" w:pos="222" w:leader="none"/>
              </w:tabs>
              <w:spacing w:lineRule="auto" w:line="221" w:before="10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 i mocznik jako zbędne produkty przemiany materii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wydalanie i defekację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podstawie ilustracji proces powstawania moczu</w:t>
            </w:r>
          </w:p>
          <w:p>
            <w:pPr>
              <w:pStyle w:val="TableParagraph"/>
              <w:widowControl w:val="false"/>
              <w:numPr>
                <w:ilvl w:val="0"/>
                <w:numId w:val="7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modelu lub ilustracji miejsce powstawania moczu pierwotnego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36"/>
              <w:contextualSpacing/>
              <w:jc w:val="left"/>
              <w:rPr>
                <w:sz w:val="12"/>
              </w:rPr>
            </w:pPr>
            <w:r>
              <w:rPr>
                <w:kern w:val="0"/>
                <w:sz w:val="12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układu wydalniczego w prawidłowym funkcjonowaniu całego organizmu</w:t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8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sposoby wydalania mocznika i CO</w:t>
            </w:r>
            <w:r>
              <w:rPr>
                <w:kern w:val="0"/>
                <w:position w:val="-3"/>
                <w:sz w:val="12"/>
                <w:szCs w:val="22"/>
                <w:lang w:eastAsia="en-US" w:bidi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wykonuje z dowolnego materiału model układu moczowego</w:t>
            </w:r>
          </w:p>
          <w:p>
            <w:pPr>
              <w:pStyle w:val="TableParagraph"/>
              <w:widowControl w:val="false"/>
              <w:numPr>
                <w:ilvl w:val="0"/>
                <w:numId w:val="7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modelu lub materiale świeżym warstwy budujące nerkę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244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25. Higiena i choroby układu wydalniczego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zasady higieny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odczytuje wyniki własnych badań laboratoryjnych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zakażenia dróg moczowych i kamicę nerkową jako choroby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badania stosowane w profilaktyce tych chorób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exact" w:line="206" w:before="57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chorób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wykonywania badań kontrolnych moczu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konieczność okresowego wykonywania badań kontrolnych moczu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picia dużych ilości wody podczas leczenia chorób nerek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regularnego opróżniania pęcherza moczowego</w:t>
            </w:r>
          </w:p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  <w:tab w:val="left" w:pos="1423" w:leader="none"/>
              </w:tabs>
              <w:spacing w:lineRule="auto" w:line="235" w:before="0" w:after="0"/>
              <w:ind w:hanging="170" w:left="221" w:right="1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 ilustracji przebieg dializy</w:t>
            </w:r>
          </w:p>
          <w:p>
            <w:pPr>
              <w:pStyle w:val="TableParagraph"/>
              <w:widowControl w:val="false"/>
              <w:numPr>
                <w:ilvl w:val="0"/>
                <w:numId w:val="8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we własnych  wynikach odchylenia od normy – stwierdza stan zagrożenia zdrowia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  <w:tab w:val="left" w:pos="1423" w:leader="none"/>
              </w:tabs>
              <w:spacing w:lineRule="auto" w:line="235" w:before="0" w:after="0"/>
              <w:ind w:hanging="0" w:left="221" w:right="1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12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własne wyniki laboratoryjnego badania moczu i na tej podstawie określa stan zdrowia własnego układu wydalniczego</w:t>
            </w:r>
          </w:p>
          <w:p>
            <w:pPr>
              <w:pStyle w:val="TableParagraph"/>
              <w:widowControl w:val="false"/>
              <w:numPr>
                <w:ilvl w:val="0"/>
                <w:numId w:val="7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-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dializy w ratowaniu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4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14"/>
          <w:footerReference w:type="first" r:id="rId15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8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dokrewny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26.Układ dokrewny.  Budowa i funkcjonowanie układu hormonalnego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gruczoły dokrewne</w:t>
            </w:r>
          </w:p>
          <w:p>
            <w:pPr>
              <w:pStyle w:val="TableParagraph"/>
              <w:widowControl w:val="false"/>
              <w:numPr>
                <w:ilvl w:val="0"/>
                <w:numId w:val="7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przykłady hormonów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pacing w:lineRule="auto" w:line="238" w:before="0" w:after="0"/>
              <w:ind w:hanging="170" w:left="221" w:right="421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gruczoł dokrewny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czym są hormony</w:t>
            </w:r>
          </w:p>
          <w:p>
            <w:pPr>
              <w:pStyle w:val="TableParagraph"/>
              <w:widowControl w:val="false"/>
              <w:numPr>
                <w:ilvl w:val="0"/>
                <w:numId w:val="75"/>
              </w:numPr>
              <w:tabs>
                <w:tab w:val="clear" w:pos="720"/>
                <w:tab w:val="left" w:pos="222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położenie gruczołów dokrewnych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exact" w:line="206" w:before="0" w:after="0"/>
              <w:ind w:hanging="0" w:left="2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cechy hormonów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hormony do odpowiednich gruczołów, które je wytwarzają</w:t>
            </w:r>
          </w:p>
          <w:p>
            <w:pPr>
              <w:pStyle w:val="TableParagraph"/>
              <w:widowControl w:val="false"/>
              <w:numPr>
                <w:ilvl w:val="0"/>
                <w:numId w:val="7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9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działanie insuliny i glukagonu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znaczenie swoistego działania hormonów</w:t>
            </w:r>
          </w:p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 czym polega antagonistyczne działanie insuliny i glukagonu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4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biologiczną rolę hormonu wzrostu, tyroksyny, insuliny, adrenaliny, testosteronu, estrogenów</w:t>
            </w:r>
          </w:p>
          <w:p>
            <w:pPr>
              <w:pStyle w:val="TableParagraph"/>
              <w:widowControl w:val="false"/>
              <w:numPr>
                <w:ilvl w:val="0"/>
                <w:numId w:val="7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nie należy bez konsultacji z lekarzem przyjmować preparatówi leków hormonalnych</w:t>
            </w:r>
          </w:p>
        </w:tc>
      </w:tr>
      <w:tr>
        <w:trPr>
          <w:trHeight w:val="11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 w:right="76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27. Zaburzenia funkcjonowania układu hormonalnego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nadmiaru i niedoboru hormonu wzrostu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8" w:before="59" w:after="0"/>
              <w:ind w:hanging="170" w:left="221" w:right="157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równowaga hormonalna</w:t>
            </w:r>
          </w:p>
          <w:p>
            <w:pPr>
              <w:pStyle w:val="TableParagraph"/>
              <w:widowControl w:val="false"/>
              <w:numPr>
                <w:ilvl w:val="0"/>
                <w:numId w:val="70"/>
              </w:numPr>
              <w:tabs>
                <w:tab w:val="clear" w:pos="720"/>
                <w:tab w:val="left" w:pos="222" w:leader="none"/>
              </w:tabs>
              <w:spacing w:lineRule="auto" w:line="238" w:before="59" w:after="0"/>
              <w:ind w:hanging="170" w:left="221" w:right="157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przyczyny cukrzycy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skutki nadmiaru i niedoboru hormonów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związek niedoboru insuliny z cukrzycą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7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 wykazuje różnice między cukrzycą typu  I a  cukrzycą typu II</w:t>
            </w:r>
          </w:p>
        </w:tc>
      </w:tr>
      <w:tr>
        <w:trPr>
          <w:trHeight w:val="28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11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28. Budowa i rola układu nerwowego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9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elementy budowy ośrodkowego i obwodowego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ośrodkowy i obwodowy układ nerwowy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elementy budowy komórki nerwowej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neuronu przebieg impulsu nerwowego</w:t>
            </w:r>
          </w:p>
          <w:p>
            <w:pPr>
              <w:pStyle w:val="TableParagraph"/>
              <w:widowControl w:val="false"/>
              <w:numPr>
                <w:ilvl w:val="0"/>
                <w:numId w:val="6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somatyczny i autonomiczny układ nerwowy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nerwowej z jej funkcją</w:t>
            </w:r>
          </w:p>
          <w:p>
            <w:pPr>
              <w:pStyle w:val="TableParagraph"/>
              <w:widowControl w:val="false"/>
              <w:numPr>
                <w:ilvl w:val="0"/>
                <w:numId w:val="6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działanie ośrodkowego i obwodowego układu nerwowego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31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sposób działania synapsy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2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somatycznego i autonomicznego układu nerwowego</w:t>
            </w:r>
          </w:p>
          <w:p>
            <w:pPr>
              <w:pStyle w:val="TableParagraph"/>
              <w:widowControl w:val="false"/>
              <w:numPr>
                <w:ilvl w:val="0"/>
                <w:numId w:val="6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porównuje funkcje współczulnej i przywspółczulnej części autonomicznego układu nerwowego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rolę regulacji nerwowo-hormonalnej w prawidłowym funkcjonowaniu całego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0" w:left="220" w:right="4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66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681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VII.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Układ nerwowy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1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29. Ośrodkowy układ nerwowy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najważniejsze elementy mózgowia</w:t>
            </w:r>
          </w:p>
          <w:p>
            <w:pPr>
              <w:pStyle w:val="TableParagraph"/>
              <w:widowControl w:val="false"/>
              <w:numPr>
                <w:ilvl w:val="0"/>
                <w:numId w:val="6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mózgowie i 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elementy budowy rdzenia kręgowego na ilustracji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budowę rdzenia kręgowego</w:t>
            </w:r>
          </w:p>
          <w:p>
            <w:pPr>
              <w:pStyle w:val="TableParagraph"/>
              <w:widowControl w:val="false"/>
              <w:numPr>
                <w:ilvl w:val="0"/>
                <w:numId w:val="59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objaśnia na 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mózgowie jako jednostkę nadrzędną w stosunku do 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nadrzędną funkcję mózgowia w stosunku do pozostałych części układu nerwowego</w:t>
            </w:r>
          </w:p>
        </w:tc>
      </w:tr>
      <w:tr>
        <w:trPr>
          <w:trHeight w:val="1723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30. Obwodowy układ nerwowy. Odruchy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nerwów obwodowych</w:t>
            </w:r>
          </w:p>
          <w:p>
            <w:pPr>
              <w:pStyle w:val="TableParagraph"/>
              <w:widowControl w:val="false"/>
              <w:numPr>
                <w:ilvl w:val="0"/>
                <w:numId w:val="5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po trzy przykłady odruchów warunkowych i bezwarunkowych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pacing w:lineRule="auto" w:line="223" w:before="71" w:after="0"/>
              <w:ind w:hanging="170" w:left="221" w:right="17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nerwy czuciowe i ruchowe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pacing w:lineRule="auto" w:line="223" w:before="0" w:after="0"/>
              <w:ind w:hanging="170" w:left="221" w:right="4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na</w:t>
            </w:r>
            <w:r>
              <w:rPr>
                <w:kern w:val="0"/>
                <w:sz w:val="22"/>
                <w:szCs w:val="22"/>
                <w:lang w:eastAsia="en-US" w:bidi="ar-SA"/>
              </w:rPr>
              <w:t> </w:t>
            </w:r>
            <w:r>
              <w:rPr>
                <w:kern w:val="0"/>
                <w:sz w:val="17"/>
                <w:szCs w:val="22"/>
                <w:lang w:eastAsia="en-US" w:bidi="ar-SA"/>
              </w:rPr>
              <w:t>podstawie ilustracji drogę impulsu nerwowego w łuku odruchowym</w:t>
            </w:r>
          </w:p>
          <w:p>
            <w:pPr>
              <w:pStyle w:val="TableParagraph"/>
              <w:widowControl w:val="false"/>
              <w:numPr>
                <w:ilvl w:val="0"/>
                <w:numId w:val="55"/>
              </w:numPr>
              <w:tabs>
                <w:tab w:val="clear" w:pos="720"/>
                <w:tab w:val="left" w:pos="222" w:leader="none"/>
              </w:tabs>
              <w:spacing w:lineRule="auto" w:line="223" w:before="0" w:after="0"/>
              <w:ind w:hanging="170" w:left="221" w:right="8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odróżnia odruchy warunkowe i bezwarunkowe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23" w:before="71" w:after="0"/>
              <w:ind w:hanging="170" w:left="220" w:right="3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odruchem warunkowym a bezwarunkowym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23" w:before="0" w:after="0"/>
              <w:ind w:hanging="170" w:left="220" w:right="7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graficznie drogę impulsu nerwowego w łuku odruchowym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rysunku wyjaśnia mechanizm odruchu kolanowego</w:t>
            </w:r>
          </w:p>
          <w:p>
            <w:pPr>
              <w:pStyle w:val="TableParagraph"/>
              <w:widowControl w:val="false"/>
              <w:numPr>
                <w:ilvl w:val="0"/>
                <w:numId w:val="54"/>
              </w:numPr>
              <w:tabs>
                <w:tab w:val="clear" w:pos="720"/>
                <w:tab w:val="left" w:pos="221" w:leader="none"/>
              </w:tabs>
              <w:spacing w:lineRule="auto" w:line="223" w:before="0" w:after="0"/>
              <w:ind w:hanging="170" w:left="220" w:right="6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odruchy warunkowe i bezwarunkowe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5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2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 znaczenia odruchów warunkowych i bezwarunkowych w 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53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odruchów warunkowych w procesie uczenia się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0" w:left="220" w:right="31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1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40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0" w:after="0"/>
              <w:ind w:hanging="258" w:left="305" w:right="23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31. Higiena  układu nerwowego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czynniki wywołujące stres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używek</w:t>
            </w:r>
          </w:p>
          <w:p>
            <w:pPr>
              <w:pStyle w:val="TableParagraph"/>
              <w:widowControl w:val="false"/>
              <w:numPr>
                <w:ilvl w:val="0"/>
                <w:numId w:val="51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skutki zażywania niektórych substancji psychoaktywnych dla stanu zdrowia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sposoby radzenia sobie ze stresem</w:t>
            </w:r>
          </w:p>
          <w:p>
            <w:pPr>
              <w:pStyle w:val="TableParagraph"/>
              <w:widowControl w:val="false"/>
              <w:numPr>
                <w:ilvl w:val="0"/>
                <w:numId w:val="50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negatywny wpływ na zdrowie człowieka niektórych substancji psychoaktywnych oraz nadużywania kofeiny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exact" w:line="206" w:before="56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dodatni i ujemny wpływ stresu na funkcjonowanie organizmu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wpływ palenia tytoniu na zdrowie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exact" w:line="206" w:before="56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profilaktyki uzależnień</w:t>
            </w:r>
          </w:p>
          <w:p>
            <w:pPr>
              <w:pStyle w:val="TableParagraph"/>
              <w:widowControl w:val="false"/>
              <w:spacing w:lineRule="auto" w:line="235" w:before="2" w:after="0"/>
              <w:ind w:hanging="0" w:left="220" w:right="48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snu na procesy uczenia się i zapamiętywania oraz na odporność organizmu</w:t>
            </w:r>
          </w:p>
          <w:p>
            <w:pPr>
              <w:pStyle w:val="TableParagraph"/>
              <w:widowControl w:val="false"/>
              <w:numPr>
                <w:ilvl w:val="0"/>
                <w:numId w:val="4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przyjmowaniem używek a powstawaniem nałogu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3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skutki działania alkoholu na funkcjonowanie organizmu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0" w:left="220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związek między prawidłowym wysypianiem się a funkcjonowaniem organizmu</w:t>
            </w:r>
          </w:p>
          <w:p>
            <w:pPr>
              <w:pStyle w:val="Table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170" w:left="220" w:right="1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alternatywne zajęcia pomagające uniknąć uzależnień</w:t>
            </w:r>
          </w:p>
          <w:p>
            <w:pPr>
              <w:pStyle w:val="TableParagraph"/>
              <w:widowControl w:val="false"/>
              <w:numPr>
                <w:ilvl w:val="0"/>
                <w:numId w:val="4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ocenia wpływ palenia tytoniu na zdrowie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60" w:after="0"/>
              <w:ind w:hanging="0" w:left="220" w:right="1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8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170" w:left="2547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VIII. Narządy zmysłów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3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3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znaczenie zmysłów w życiu człowieka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4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w narządzie wzroku aparat ochronny oka i gałkę oczną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9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elementów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8" w:before="0" w:after="0"/>
              <w:ind w:hanging="170" w:left="221" w:right="105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 xml:space="preserve">wyjaśnia pojęcie 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akomodacja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0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aparatu ochronnego oka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elementów oka z pełnionymi przez nie funkcjami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wzroku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6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w formie prostego rysunku drogę światła w oku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5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powstawanie obrazu na siatkówce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planuje i przeprowadza doświadczenie wykazujące reakcję tęczówki na światło o różnym natężeniu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 pomocą prostego rysunku drogę światła w oku i powstawanie obrazu na siatkówce oraz wyjaśnia rolę soczewki w tym procesie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00000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0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przeprowadza doświadczenie wykazujące obecność tarczy nerwu wzrokowego w oku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ilustruje za pomocą prostego rysunku drogę światła w oku oraz tłumaczy powstawaniei odbieranie wrażeń wzrokowych, używając odpowiedniej terminologii</w:t>
            </w:r>
            <w:bookmarkStart w:id="0" w:name="_GoBack"/>
            <w:bookmarkEnd w:id="0"/>
          </w:p>
        </w:tc>
      </w:tr>
      <w:tr>
        <w:trPr>
          <w:trHeight w:val="208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1" w:after="0"/>
              <w:ind w:hanging="0" w:left="2547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43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33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. Ucho – narząd słuchu i równowagi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elementy budowy ucha</w:t>
            </w:r>
          </w:p>
          <w:p>
            <w:pPr>
              <w:pStyle w:val="TableParagraph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wyróżnia ucho zewnętrzne, środkowe i wewnętrzne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60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położenie narządu równowagi</w:t>
            </w:r>
          </w:p>
          <w:p>
            <w:pPr>
              <w:pStyle w:val="Table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poszczególnych elementów ucha</w:t>
            </w:r>
          </w:p>
          <w:p>
            <w:pPr>
              <w:pStyle w:val="TableParagraph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1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funkcje ucha zewnętrznego, środkowego i wewnętrznego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odbierania i rozpoznawania dźwięków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  <w:tab w:val="left" w:pos="1446" w:leader="none"/>
              </w:tabs>
              <w:spacing w:lineRule="auto" w:line="235" w:before="0" w:after="0"/>
              <w:ind w:hanging="170" w:left="221" w:right="24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lokalizację receptorów słuchu i równowagi w uchu</w:t>
            </w:r>
          </w:p>
          <w:p>
            <w:pPr>
              <w:pStyle w:val="TableParagraph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przebieg bodźca słuchowego, uwzględniając przetwarzanie fal dźwiękowych na impulsy nerwowe</w:t>
            </w:r>
          </w:p>
        </w:tc>
      </w:tr>
      <w:tr>
        <w:trPr>
          <w:trHeight w:val="20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7" w:after="0"/>
              <w:ind w:hanging="0" w:left="5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34. Higiena oka i ucha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wady wzroku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zasady higieny oczu</w:t>
            </w:r>
          </w:p>
          <w:p>
            <w:pPr>
              <w:pStyle w:val="TableParagraph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4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oczu i uszu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  <w:tab w:val="left" w:pos="1743" w:leader="none"/>
              </w:tabs>
              <w:spacing w:lineRule="auto" w:line="235" w:before="61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rozpoznaje na ilustracji krótkowzroczność i dalekowzroczność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4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przyczyny powstawania wad wzroku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wady wzroku</w:t>
            </w:r>
          </w:p>
          <w:p>
            <w:pPr>
              <w:pStyle w:val="TableParagraph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sposób korygowania wad wzroku</w:t>
            </w:r>
          </w:p>
          <w:p>
            <w:pPr>
              <w:pStyle w:val="TableParagraph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9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hałas jako czynnik powodujący głuchotę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0" w:left="220" w:right="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rodzaje soczewek korygujących wady wzroku</w:t>
            </w:r>
          </w:p>
          <w:p>
            <w:pPr>
              <w:pStyle w:val="TableParagraph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3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analizuje, w jaki sposób nadmierny hałas może spowodować uszkodzenie słuchu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6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źródła hałasu w najbliższym otoczeniu i wskazuje na sposoby jego ograniczenia</w:t>
            </w:r>
          </w:p>
        </w:tc>
      </w:tr>
      <w:tr>
        <w:trPr>
          <w:trHeight w:val="1832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5" w:right="64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35. Zmysły powonienia, smaku i dotyku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30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rozmieszczenie receptorów powonienia, smaku i dotyku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podstawowe smaki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6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3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rodzaje kubków smakowych</w:t>
            </w:r>
          </w:p>
          <w:p>
            <w:pPr>
              <w:pStyle w:val="TableParagraph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miejsce występowania komórek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węchowych</w:t>
            </w:r>
          </w:p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bodźce odbierane przez receptory skóry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5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1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rolę zmysłów powonienia, smaku i dotyku</w:t>
            </w:r>
          </w:p>
          <w:p>
            <w:pPr>
              <w:pStyle w:val="TableParagraph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2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rolę węchu w ocenie pokarmów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skóra jest narządem dotyku</w:t>
            </w:r>
          </w:p>
          <w:p>
            <w:pPr>
              <w:pStyle w:val="TableParagraph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znaczenie wolnych zakończeń nerwowychw skórze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3" w:after="0"/>
              <w:ind w:hanging="0" w:left="220" w:right="25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przykładach współzależności smaku i węchu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36. Rozmnażanie i rozwój. Męski układ rozrodczy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męskie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męskie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42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budowę plemnika i wykonuje jego schematyczny rysunek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proces powstawania nasienia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1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funkcje męskiego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 trzeciorzędowe męskie 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poszczególnych elementów męskiego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funkcję testosteronu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główka plemnika jest właściwą gametą męską</w:t>
            </w:r>
          </w:p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6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zależność między produkcją hormonów płciowych a zmianami zachodzącymi w ciele mężczyzny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wspólną funkcjonalność prącia jako narządu wydalania i narządu rozrodczego</w:t>
            </w:r>
          </w:p>
        </w:tc>
      </w:tr>
      <w:tr>
        <w:trPr>
          <w:trHeight w:val="22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37. Żeński układ rozrodczy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narządy rozrodcze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 ilustracji żeńskie narządy rozrodcze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2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żeńskiego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5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pierwszo-, drugo- i trzeciorzędowe żeńskie cechy płciowe</w:t>
            </w:r>
          </w:p>
          <w:p>
            <w:pPr>
              <w:pStyle w:val="TableParagraph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funkcje wewnętrznych narządów rozrodczych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związek budowy komórki jajowej z pełnioną przez nią funkcją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podobieństwa i różnice w budowie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męskich i żeńskich układów narządów: rozrodczego  i wydalniczego</w:t>
            </w:r>
          </w:p>
        </w:tc>
      </w:tr>
      <w:tr>
        <w:trPr>
          <w:trHeight w:val="1733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lineRule="auto" w:line="235" w:before="96" w:after="0"/>
              <w:ind w:hanging="576" w:left="728" w:right="18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9" w:right="252"/>
              <w:contextualSpacing/>
              <w:jc w:val="left"/>
              <w:rPr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38</w:t>
            </w:r>
            <w:r>
              <w:rPr>
                <w:kern w:val="0"/>
                <w:sz w:val="17"/>
                <w:szCs w:val="22"/>
                <w:lang w:eastAsia="en-US" w:bidi="ar-SA"/>
              </w:rPr>
              <w:t xml:space="preserve">. </w:t>
            </w:r>
            <w:r>
              <w:rPr>
                <w:b/>
                <w:kern w:val="0"/>
                <w:sz w:val="17"/>
                <w:szCs w:val="22"/>
                <w:lang w:eastAsia="en-US" w:bidi="ar-SA"/>
              </w:rPr>
              <w:t>Funkcjonowanie żeńskiego układu rozrodczego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6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żeńskie hormony płciowe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kolejne fazy cyklu miesiączkowego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w cyklu miesiączkowym dni płodne i niepłodne</w:t>
            </w:r>
          </w:p>
          <w:p>
            <w:pPr>
              <w:pStyle w:val="TableParagraph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zmiany hormonalne i zmiany w macicy zachodzące w trakcie cyklu miesiączkowego</w:t>
            </w:r>
          </w:p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7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rolę ciałka żółtego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1" w:right="60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wyznacza dni płodne i niepłodne u kobiet w różnych dniach cyklu miesiączkowego z  różną długością cyklu</w:t>
            </w:r>
          </w:p>
        </w:tc>
      </w:tr>
    </w:tbl>
    <w:p>
      <w:pPr>
        <w:sectPr>
          <w:footerReference w:type="default" r:id="rId20"/>
          <w:footerReference w:type="first" r:id="rId21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535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961" w:hRule="atLeast"/>
        </w:trPr>
        <w:tc>
          <w:tcPr>
            <w:tcW w:w="624" w:type="dxa"/>
            <w:vMerge w:val="restart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7" w:after="0"/>
              <w:ind w:hanging="255" w:left="300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39. Rozwój człowieka – od poczęciado narodzin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przedurodzeniowe - zygota, zarodek, płód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nazwa  błony płodowe</w:t>
            </w:r>
          </w:p>
          <w:p>
            <w:pPr>
              <w:pStyle w:val="TableParagraph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4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długość trwania rozwoju płodowego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2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2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porządkuje etapy rozwoju zarodka od zapłodnienia do zagnieżdżenia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rFonts w:ascii="Humanst521EU" w:hAnsi="Humanst521EU"/>
                <w:i/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znaczenie pojęcia</w:t>
            </w:r>
            <w:r>
              <w:rPr>
                <w:rFonts w:ascii="Humanst521EU" w:hAnsi="Humanst521EU"/>
                <w:i/>
                <w:kern w:val="0"/>
                <w:sz w:val="17"/>
                <w:szCs w:val="22"/>
                <w:lang w:eastAsia="en-US" w:bidi="ar-SA"/>
              </w:rPr>
              <w:t>zapłodnienie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czas trwania ciąży</w:t>
            </w:r>
          </w:p>
          <w:p>
            <w:pPr>
              <w:pStyle w:val="TableParagraph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24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różnych czynników na prawidłowy rozwój zarodka i płodu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1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funkcje błon płodowych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okres rozwoju płodowego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12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przyczyny zmian zachodzących w organizmie kobiety podczas ciąży</w:t>
            </w:r>
          </w:p>
          <w:p>
            <w:pPr>
              <w:pStyle w:val="TableParagraph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etapy porodu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exact" w:line="206" w:before="57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funkcje łożyska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auto" w:line="235" w:before="2" w:after="0"/>
              <w:ind w:hanging="170" w:left="220" w:right="10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przestrzegania zasad higieny przez kobiety w ciąży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0" w:right="55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mechanizm powstawania ciąży pojedynczej i mnogiej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41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 zasady higieny zalecane kobietom w ciąży</w:t>
            </w:r>
          </w:p>
        </w:tc>
      </w:tr>
      <w:tr>
        <w:trPr>
          <w:trHeight w:val="1403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2" w:left="29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40. Rozwój człowieka – od narodzin do starości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pacing w:lineRule="auto" w:line="235" w:before="61" w:after="0"/>
              <w:ind w:hanging="170" w:left="220" w:right="58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etapy życia człowieka</w:t>
            </w:r>
          </w:p>
          <w:p>
            <w:pPr>
              <w:pStyle w:val="TableParagraph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1" w:leader="none"/>
              </w:tabs>
              <w:spacing w:lineRule="exact" w:line="204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nazywa rodzaje dojrzałości człowieka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20" w:right="19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określa zmiany rozwojowe u swoich rówieśników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objawy starzenia się organizmu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20" w:right="14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 różnice w tempie dojrzewania dziewcząt i chłopców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32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wskazane okresy rozwojowe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0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cechy oraz przebieg fizycznego, psychicznego i społecznego dojrzewania człowieka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5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różnice między przekwitaniem a starością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9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okresom rozwojowym zmiany zachodzące w organizmie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0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tworzy w dowolnej formie prezentację na temat dojrzewania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0" w:leader="none"/>
              </w:tabs>
              <w:spacing w:lineRule="exact" w:line="202" w:before="0" w:after="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tworzy portfolio ze zdjęciami swojej rodziny, której członkowie znajdują się w różnych okresach rozwoju</w:t>
            </w:r>
          </w:p>
        </w:tc>
      </w:tr>
    </w:tbl>
    <w:p>
      <w:pPr>
        <w:sectPr>
          <w:footerReference w:type="default" r:id="rId22"/>
          <w:footerReference w:type="first" r:id="rId23"/>
          <w:type w:val="nextPage"/>
          <w:pgSz w:orient="landscape" w:w="15600" w:h="11630"/>
          <w:pgMar w:left="0" w:right="880" w:gutter="0" w:header="0" w:top="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17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1053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IX.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71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41. Higiena i 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7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1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przenoszone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0" w:left="219" w:right="38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3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kontakty płciowe jako potencjalne źródło zakażenia układu rozrodczego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4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źródła zakażenia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7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różnicę między nosicielstwem HIVa chorobą AIDS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2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4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konieczność regularnych wizyt u ginekologa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2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przyporządkowuje chorobom ich charakterystyczne objawy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25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przenoszonych drogą płciową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19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8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ryzykowne zachowania seksualne, które mogą prowadzić do zakażenia HIV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7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wykonywania badań kontrolnych jako sposobu wczesnego wykrywania raka piersi, raka szyjki macicy  i  raka prostaty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8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wyszukuje w różnych źródłach informacje na temat planowanych szczepień przeciwko wirusowi brodawczaka, wywołującego raka szyjki macicy</w:t>
            </w:r>
          </w:p>
        </w:tc>
      </w:tr>
      <w:tr>
        <w:trPr>
          <w:trHeight w:val="2536" w:hRule="atLeast"/>
        </w:trPr>
        <w:tc>
          <w:tcPr>
            <w:tcW w:w="624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52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5" w:left="300" w:right="38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42.Homeostaza.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5" w:left="300" w:right="388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Mechanizmy regulacyjne organizmu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11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własnymi słowami wyjaśnia, na 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8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 mechanizm termoregulacji u człowieka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30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drogi wydalania wody z organizmu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na podstawie wcześniej zdobytej wiedzy zależność działania układów pokarmowego i krwionośnego</w:t>
            </w:r>
          </w:p>
          <w:p>
            <w:pPr>
              <w:pStyle w:val="TableParagraph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49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opisuje, które układy narządów mają wpływ na regulację poziomu wody we krwi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wyjaśnia, na czym polega homeostaza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8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układów: nerwowego, pokarmowego i krwionośnego</w:t>
            </w:r>
          </w:p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6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 mechanizm regulacji poziomu glukozy we krwi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23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wykazuje zależność działania poszczególnych układów narządów w organizmie człowieka</w:t>
            </w:r>
          </w:p>
          <w:p>
            <w:pPr>
              <w:pStyle w:val="Table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2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na podstawie wcześniej zdobytej wiedzy wyjaśnia, które układy narządów biorą udział w mechanizmie regulacji poziomu glukozy we krwi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8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analizuje i wykazuje rolę regulacji nerwowo-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11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-hormonalnej w utrzymaniu homeostazy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orient="landscape" w:w="15600" w:h="11630"/>
          <w:pgMar w:left="740" w:right="880" w:gutter="0" w:header="0" w:top="84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BodyText"/>
        <w:spacing w:before="0" w:after="0"/>
        <w:ind w:left="963"/>
        <w:contextualSpacing/>
        <w:rPr>
          <w:rFonts w:ascii="Humanst521EU" w:hAnsi="Humanst521EU"/>
          <w:i w:val="false"/>
          <w:sz w:val="20"/>
        </w:rPr>
      </w:pPr>
      <w:r>
        <w:rPr>
          <w:rFonts w:ascii="Humanst521EU" w:hAnsi="Humanst521EU"/>
          <w:i w:val="false"/>
          <w:sz w:val="20"/>
        </w:rPr>
      </w:r>
    </w:p>
    <w:p>
      <w:pPr>
        <w:pStyle w:val="BodyText"/>
        <w:spacing w:before="0" w:after="0"/>
        <w:contextualSpacing/>
        <w:rPr>
          <w:rFonts w:ascii="Humanst521EU" w:hAnsi="Humanst521EU"/>
          <w:b/>
          <w:i w:val="false"/>
          <w:sz w:val="20"/>
        </w:rPr>
      </w:pPr>
      <w:r>
        <w:rPr>
          <w:rFonts w:ascii="Humanst521EU" w:hAnsi="Humanst521EU"/>
          <w:b/>
          <w:i w:val="false"/>
          <w:sz w:val="20"/>
        </w:rPr>
      </w:r>
    </w:p>
    <w:p>
      <w:pPr>
        <w:pStyle w:val="BodyText"/>
        <w:spacing w:before="1" w:after="1"/>
        <w:contextualSpacing/>
        <w:rPr>
          <w:rFonts w:ascii="Humanst521EU" w:hAnsi="Humanst521EU"/>
          <w:b/>
          <w:i w:val="false"/>
          <w:sz w:val="24"/>
        </w:rPr>
      </w:pPr>
      <w:r>
        <w:rPr>
          <w:rFonts w:ascii="Humanst521EU" w:hAnsi="Humanst521EU"/>
          <w:b/>
          <w:i w:val="false"/>
          <w:sz w:val="24"/>
        </w:rPr>
      </w:r>
    </w:p>
    <w:tbl>
      <w:tblPr>
        <w:tblStyle w:val="TableNormal"/>
        <w:tblW w:w="13745" w:type="dxa"/>
        <w:jc w:val="left"/>
        <w:tblInd w:w="85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109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5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24"/>
              </w:rPr>
            </w:pPr>
            <w:r>
              <w:rPr>
                <w:rFonts w:ascii="Humanst521EU" w:hAnsi="Humanst521EU"/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hanging="0" w:left="613" w:right="613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contextualSpacing/>
              <w:jc w:val="left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823" w:hRule="atLeast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contextualSpacing/>
              <w:jc w:val="left"/>
              <w:rPr>
                <w:rFonts w:ascii="Humanst521EU" w:hAnsi="Humanst521EU"/>
                <w:b/>
                <w:sz w:val="15"/>
              </w:rPr>
            </w:pPr>
            <w:r>
              <w:rPr>
                <w:rFonts w:ascii="Humanst521EU" w:hAnsi="Humanst521EU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0"/>
              <w:contextualSpacing/>
              <w:jc w:val="center"/>
              <w:rPr>
                <w:rFonts w:ascii="Humanst521EU" w:hAnsi="Humanst521EU"/>
                <w:b/>
                <w:sz w:val="17"/>
              </w:rPr>
            </w:pP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 xml:space="preserve">X. </w:t>
            </w:r>
            <w:r>
              <w:rPr>
                <w:rFonts w:ascii="Humanst521EU" w:hAnsi="Humanst521EU"/>
                <w:b/>
                <w:spacing w:val="-3"/>
                <w:kern w:val="0"/>
                <w:sz w:val="17"/>
                <w:szCs w:val="22"/>
                <w:lang w:eastAsia="en-US" w:bidi="ar-SA"/>
              </w:rPr>
              <w:t>R</w:t>
            </w:r>
            <w:r>
              <w:rPr>
                <w:rFonts w:ascii="Humanst521EU" w:hAnsi="Humanst521EU"/>
                <w:b/>
                <w:kern w:val="0"/>
                <w:sz w:val="17"/>
                <w:szCs w:val="22"/>
                <w:lang w:eastAsia="en-US" w:bidi="ar-SA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auto" w:line="235" w:before="61" w:after="0"/>
              <w:ind w:hanging="258" w:left="306" w:right="629"/>
              <w:contextualSpacing/>
              <w:jc w:val="left"/>
              <w:rPr>
                <w:b/>
                <w:sz w:val="17"/>
              </w:rPr>
            </w:pPr>
            <w:r>
              <w:rPr>
                <w:b/>
                <w:kern w:val="0"/>
                <w:sz w:val="17"/>
                <w:szCs w:val="22"/>
                <w:lang w:eastAsia="en-US" w:bidi="ar-SA"/>
              </w:rPr>
              <w:t>43. Choroba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61" w:after="0"/>
              <w:ind w:hanging="170" w:left="219" w:right="20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omawia wpływ trybu życia na stan zdrowia człowieka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0" w:after="0"/>
              <w:ind w:hanging="170" w:left="219" w:right="390"/>
              <w:contextualSpacing/>
              <w:jc w:val="both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trzech chorób zakaźnych wraz z czynnikami, które</w:t>
            </w:r>
          </w:p>
          <w:p>
            <w:pPr>
              <w:pStyle w:val="TableParagraph"/>
              <w:widowControl w:val="false"/>
              <w:spacing w:lineRule="exact" w:line="202" w:before="0" w:after="0"/>
              <w:ind w:hanging="0" w:left="21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je wywołują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3" w:after="0"/>
              <w:ind w:hanging="170" w:left="219" w:right="131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choroby cywilizacyjne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0" w:leader="none"/>
              </w:tabs>
              <w:spacing w:lineRule="auto" w:line="235" w:before="1" w:after="0"/>
              <w:ind w:hanging="170" w:left="219" w:right="35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10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opisuje zdrowie fizyczne, psychiczne i społeczne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3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przykłady wpływu środowiska na życiei 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170" w:left="221" w:right="495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znaczenie aktywności fizycznej dla prawidłowego funkcjonowania organizmu człowieka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przedstawia podstawowe zasady profilaktyki chorób nowotworowych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0" w:left="221" w:right="6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26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charakteryzuje czynniki wpływające na zdrowie człowieka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170" w:left="221" w:right="13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rozróżnia zdrowie fizyczne, psychiczne i społeczne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podaje kryterium podziału chorób na choroby zakaźne i cywilizacyjne</w:t>
            </w:r>
          </w:p>
          <w:p>
            <w:pPr>
              <w:pStyle w:val="TableParagraph"/>
              <w:widowControl w:val="false"/>
              <w:numPr>
                <w:ilvl w:val="0"/>
                <w:numId w:val="170"/>
              </w:numPr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58"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na co należy zwrócić uwagę czytając  ulotki dołączane do ogólnodostępnych leków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137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221" w:right="604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7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wykazuje wpływ środowiska na zdrowie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5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uzasadnia, że antybiotyki i inne leki należy stosować zgodnie z zaleceniami lekarza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uzasadnia konieczność okresowego wykonywania podstawowych badań kontrolnych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208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formułuje argumenty przemawiające za tym, że nie należy bez wyraźnej potrzeby przyjmować ogólnodostępnych leków oraz suplementów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2" w:leader="none"/>
              </w:tabs>
              <w:spacing w:lineRule="auto" w:line="235" w:before="1" w:after="0"/>
              <w:ind w:hanging="170" w:left="221" w:right="542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  <w:t>dowodzi, że stres jest przyczyną chorób cywilizacyjnych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221" w:right="469"/>
              <w:contextualSpacing/>
              <w:jc w:val="left"/>
              <w:rPr>
                <w:sz w:val="17"/>
              </w:rPr>
            </w:pPr>
            <w:r>
              <w:rPr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pStyle w:val="Normal"/>
        <w:spacing w:before="0" w:after="0"/>
        <w:contextualSpacing/>
        <w:rPr/>
      </w:pPr>
      <w:r>
        <w:rPr/>
      </w:r>
    </w:p>
    <w:sectPr>
      <w:footerReference w:type="default" r:id="rId26"/>
      <w:footerReference w:type="first" r:id="rId27"/>
      <w:type w:val="nextPage"/>
      <w:pgSz w:orient="landscape" w:w="15600" w:h="11630"/>
      <w:pgMar w:left="0" w:right="880" w:gutter="0" w:header="0" w:top="0" w:footer="708" w:bottom="765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Times New Roman">
    <w:charset w:val="ee"/>
    <w:family w:val="roman"/>
    <w:pitch w:val="variable"/>
  </w:font>
  <w:font w:name="Humanst521EU">
    <w:charset w:val="ee"/>
    <w:family w:val="roman"/>
    <w:pitch w:val="variable"/>
  </w:font>
  <w:font w:name="Swis721BlkEU-Italic">
    <w:charset w:val="ee"/>
    <w:family w:val="roman"/>
    <w:pitch w:val="variable"/>
  </w:font>
  <w:font w:name="Humanst521EU-Normal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t xml:space="preserve"> 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4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4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5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7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7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8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8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8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8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9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4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5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6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9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10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1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1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1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5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1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3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13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3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4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4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4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7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148">
    <w:lvl w:ilvl="0">
      <w:numFmt w:val="bullet"/>
      <w:lvlText w:val="•"/>
      <w:lvlJc w:val="left"/>
      <w:pPr>
        <w:tabs>
          <w:tab w:val="num" w:pos="0"/>
        </w:tabs>
        <w:ind w:left="219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9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5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4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5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6" w:hanging="170"/>
      </w:pPr>
      <w:rPr>
        <w:rFonts w:ascii="Symbol" w:hAnsi="Symbol" w:cs="Symbol" w:hint="default"/>
      </w:rPr>
    </w:lvl>
  </w:abstractNum>
  <w:abstractNum w:abstractNumId="158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7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6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03" w:hanging="170"/>
      </w:pPr>
      <w:rPr>
        <w:rFonts w:ascii="Symbol" w:hAnsi="Symbol" w:cs="Symbol" w:hint="default"/>
      </w:rPr>
    </w:lvl>
  </w:abstractNum>
  <w:abstractNum w:abstractNumId="17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8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4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0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261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522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78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043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303" w:hanging="170"/>
      </w:pPr>
      <w:rPr>
        <w:rFonts w:ascii="Symbol" w:hAnsi="Symbol" w:cs="Symbol" w:hint="default"/>
      </w:rPr>
    </w:lvl>
  </w:abstractNum>
  <w:abstractNum w:abstractNumId="17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437f9d"/>
    <w:pPr>
      <w:widowControl w:val="fals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53e52"/>
    <w:rPr>
      <w:rFonts w:ascii="Segoe UI" w:hAnsi="Segoe UI" w:eastAsia="Humanst521EU-Normal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53e5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653e52"/>
    <w:rPr>
      <w:rFonts w:ascii="Humanst521EU-Normal" w:hAnsi="Humanst521EU-Normal" w:eastAsia="Humanst521EU-Normal" w:cs="Humanst521EU-Normal"/>
      <w:sz w:val="20"/>
      <w:szCs w:val="20"/>
      <w:lang w:val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53e52"/>
    <w:rPr>
      <w:rFonts w:ascii="Humanst521EU-Normal" w:hAnsi="Humanst521EU-Normal" w:eastAsia="Humanst521EU-Normal" w:cs="Humanst521EU-Normal"/>
      <w:b/>
      <w:bCs/>
      <w:sz w:val="20"/>
      <w:szCs w:val="20"/>
      <w:lang w:val="pl-PL"/>
    </w:rPr>
  </w:style>
  <w:style w:type="character" w:styleId="NagwekZnak" w:customStyle="1">
    <w:name w:val="Nagłówek Znak"/>
    <w:basedOn w:val="DefaultParagraphFont"/>
    <w:uiPriority w:val="99"/>
    <w:qFormat/>
    <w:rsid w:val="00672c7f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72c7f"/>
    <w:rPr>
      <w:rFonts w:ascii="Humanst521EU-Normal" w:hAnsi="Humanst521EU-Normal" w:eastAsia="Humanst521EU-Normal" w:cs="Humanst521EU-Normal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uiPriority w:val="1"/>
    <w:qFormat/>
    <w:rsid w:val="00437f9d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437f9d"/>
    <w:pPr/>
    <w:rPr/>
  </w:style>
  <w:style w:type="paragraph" w:styleId="TableParagraph" w:customStyle="1">
    <w:name w:val="Table Paragraph"/>
    <w:basedOn w:val="Normal"/>
    <w:uiPriority w:val="1"/>
    <w:qFormat/>
    <w:rsid w:val="00437f9d"/>
    <w:pPr>
      <w:ind w:hanging="170" w:left="221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53e52"/>
    <w:pPr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653e52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53e52"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72c7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72c7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37f9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footer" Target="footer25.xml"/><Relationship Id="rId27" Type="http://schemas.openxmlformats.org/officeDocument/2006/relationships/footer" Target="footer26.xml"/><Relationship Id="rId28" Type="http://schemas.openxmlformats.org/officeDocument/2006/relationships/numbering" Target="numbering.xml"/><Relationship Id="rId29" Type="http://schemas.openxmlformats.org/officeDocument/2006/relationships/fontTable" Target="fontTable.xml"/><Relationship Id="rId30" Type="http://schemas.openxmlformats.org/officeDocument/2006/relationships/settings" Target="settings.xml"/><Relationship Id="rId3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LibreOffice/26.2.5.2$Windows_X86_64 LibreOffice_project/cd7284b4cbbfeb507e630c1aac019f4157393acb</Application>
  <AppVersion>15.0000</AppVersion>
  <Pages>16</Pages>
  <Words>4694</Words>
  <Characters>29896</Characters>
  <CharactersWithSpaces>33419</CharactersWithSpaces>
  <Paragraphs>720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2024-08-09T05:59:00Z</dcterms:created>
  <dc:creator>Dorota Dąbrowska-Mróz</dc:creator>
  <dc:description/>
  <dc:language>pl-PL</dc:language>
  <cp:lastModifiedBy/>
  <dcterms:modified xsi:type="dcterms:W3CDTF">2026-08-24T13:57:16Z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