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contextualSpacing/>
        <w:rPr>
          <w:rFonts w:cs="Humanst521EU"/>
          <w:b/>
          <w:bCs/>
          <w:color w:val="000000"/>
          <w:szCs w:val="28"/>
          <w:lang w:val="pl-PL"/>
        </w:rPr>
      </w:pPr>
      <w:bookmarkStart w:id="0" w:name="_GoBack"/>
      <w:bookmarkEnd w:id="0"/>
      <w:r>
        <w:rPr>
          <w:rFonts w:cs="Humanst521EU"/>
          <w:b/>
          <w:bCs/>
          <w:color w:val="000000"/>
          <w:szCs w:val="28"/>
          <w:lang w:val="pl-PL"/>
        </w:rPr>
        <w:t xml:space="preserve">Wymagania edukacyjne z biologii dla klasy 6 szkoły podstawowej </w:t>
      </w:r>
    </w:p>
    <w:p>
      <w:pPr>
        <w:pStyle w:val="Normal"/>
        <w:spacing w:before="0" w:after="0"/>
        <w:contextualSpacing/>
        <w:rPr>
          <w:rFonts w:cs="Humanst521EU"/>
          <w:b/>
          <w:bCs/>
          <w:color w:val="000000"/>
          <w:szCs w:val="28"/>
          <w:lang w:val="pl-PL"/>
        </w:rPr>
      </w:pPr>
      <w:r>
        <w:rPr>
          <w:rFonts w:cs="Humanst521EU"/>
          <w:b/>
          <w:bCs/>
          <w:color w:val="000000"/>
          <w:szCs w:val="28"/>
          <w:lang w:val="pl-PL"/>
        </w:rPr>
      </w:r>
    </w:p>
    <w:tbl>
      <w:tblPr>
        <w:tblStyle w:val="Tabela-Siatka"/>
        <w:tblW w:w="139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696"/>
        <w:gridCol w:w="1843"/>
        <w:gridCol w:w="1984"/>
        <w:gridCol w:w="2127"/>
        <w:gridCol w:w="2126"/>
        <w:gridCol w:w="2092"/>
        <w:gridCol w:w="2126"/>
      </w:tblGrid>
      <w:tr>
        <w:trPr>
          <w:trHeight w:val="156" w:hRule="atLeast"/>
        </w:trPr>
        <w:tc>
          <w:tcPr>
            <w:tcW w:w="1696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contextualSpacing/>
              <w:jc w:val="center"/>
              <w:rPr>
                <w:rFonts w:cs="Calibri" w:cstheme="minorHAnsi"/>
                <w:b/>
                <w:color w:themeColor="accent2" w:themeShade="bf" w:val="C45911"/>
                <w:sz w:val="20"/>
                <w:szCs w:val="20"/>
              </w:rPr>
            </w:pPr>
            <w:r>
              <w:rPr>
                <w:rFonts w:cs="Calibri" w:cstheme="minorHAnsi"/>
                <w:b/>
                <w:color w:themeColor="accent2" w:themeShade="bf" w:val="C45911"/>
                <w:kern w:val="0"/>
                <w:sz w:val="20"/>
                <w:szCs w:val="20"/>
                <w:lang w:bidi="ar-SA"/>
              </w:rPr>
              <w:t>Dział</w:t>
            </w:r>
          </w:p>
        </w:tc>
        <w:tc>
          <w:tcPr>
            <w:tcW w:w="1843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contextualSpacing/>
              <w:jc w:val="center"/>
              <w:rPr>
                <w:rFonts w:cs="Calibri" w:cstheme="minorHAnsi"/>
                <w:b/>
                <w:color w:themeColor="accent2" w:themeShade="bf" w:val="C45911"/>
                <w:sz w:val="20"/>
                <w:szCs w:val="20"/>
              </w:rPr>
            </w:pPr>
            <w:r>
              <w:rPr>
                <w:rFonts w:cs="Calibri" w:cstheme="minorHAnsi"/>
                <w:b/>
                <w:color w:themeColor="accent2" w:themeShade="bf" w:val="C45911"/>
                <w:kern w:val="0"/>
                <w:sz w:val="20"/>
                <w:szCs w:val="20"/>
                <w:lang w:bidi="ar-SA"/>
              </w:rPr>
              <w:t>Temat</w:t>
            </w:r>
          </w:p>
        </w:tc>
        <w:tc>
          <w:tcPr>
            <w:tcW w:w="10455" w:type="dxa"/>
            <w:gridSpan w:val="5"/>
            <w:tcBorders/>
          </w:tcPr>
          <w:p>
            <w:pPr>
              <w:pStyle w:val="Normal"/>
              <w:widowControl/>
              <w:spacing w:before="0" w:after="0"/>
              <w:contextualSpacing/>
              <w:jc w:val="center"/>
              <w:rPr>
                <w:rFonts w:cs="Calibri" w:cstheme="minorHAnsi"/>
                <w:b/>
                <w:color w:themeColor="accent2" w:themeShade="bf" w:val="C45911"/>
                <w:sz w:val="20"/>
                <w:szCs w:val="20"/>
              </w:rPr>
            </w:pPr>
            <w:r>
              <w:rPr>
                <w:rFonts w:cs="Calibri" w:cstheme="minorHAnsi"/>
                <w:b/>
                <w:color w:themeColor="accent2" w:themeShade="bf" w:val="C45911"/>
                <w:kern w:val="0"/>
                <w:sz w:val="20"/>
                <w:szCs w:val="20"/>
                <w:lang w:bidi="ar-SA"/>
              </w:rPr>
              <w:t>Poziom wymagań</w:t>
            </w:r>
          </w:p>
        </w:tc>
      </w:tr>
      <w:tr>
        <w:trPr>
          <w:trHeight w:val="84" w:hRule="atLeast"/>
        </w:trPr>
        <w:tc>
          <w:tcPr>
            <w:tcW w:w="1696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center"/>
              <w:rPr>
                <w:rFonts w:cs="Calibri" w:cstheme="minorHAnsi"/>
                <w:b/>
                <w:color w:themeColor="accent2" w:themeShade="bf" w:val="C45911"/>
                <w:sz w:val="20"/>
                <w:szCs w:val="20"/>
              </w:rPr>
            </w:pPr>
            <w:r>
              <w:rPr>
                <w:rFonts w:cs="Calibri" w:cstheme="minorHAnsi"/>
                <w:b/>
                <w:color w:themeColor="accent2" w:themeShade="bf" w:val="C45911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1843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center"/>
              <w:rPr>
                <w:rFonts w:cs="Calibri" w:cstheme="minorHAnsi"/>
                <w:b/>
                <w:color w:themeColor="accent2" w:themeShade="bf" w:val="C45911"/>
                <w:sz w:val="20"/>
                <w:szCs w:val="20"/>
              </w:rPr>
            </w:pPr>
            <w:r>
              <w:rPr>
                <w:rFonts w:cs="Calibri" w:cstheme="minorHAnsi"/>
                <w:b/>
                <w:color w:themeColor="accent2" w:themeShade="bf" w:val="C45911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Pa20"/>
              <w:widowControl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accent2" w:themeShade="bf" w:val="C45911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themeColor="accent2" w:themeShade="bf" w:val="C45911"/>
                <w:kern w:val="0"/>
                <w:sz w:val="20"/>
                <w:szCs w:val="20"/>
                <w:lang w:bidi="ar-SA"/>
              </w:rPr>
              <w:t>ocena dopuszczająca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pacing w:before="0" w:after="0"/>
              <w:contextualSpacing/>
              <w:jc w:val="center"/>
              <w:rPr>
                <w:rFonts w:cs="Calibri" w:cstheme="minorHAnsi"/>
                <w:b/>
                <w:color w:themeColor="accent2" w:themeShade="bf" w:val="C45911"/>
                <w:sz w:val="20"/>
                <w:szCs w:val="20"/>
              </w:rPr>
            </w:pPr>
            <w:r>
              <w:rPr>
                <w:rFonts w:cs="Calibri" w:cstheme="minorHAnsi"/>
                <w:b/>
                <w:color w:themeColor="accent2" w:themeShade="bf" w:val="C45911"/>
                <w:kern w:val="0"/>
                <w:sz w:val="20"/>
                <w:szCs w:val="20"/>
                <w:lang w:bidi="ar-SA"/>
              </w:rPr>
              <w:t>ocena dostateczna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pacing w:before="0" w:after="0"/>
              <w:contextualSpacing/>
              <w:jc w:val="center"/>
              <w:rPr>
                <w:rFonts w:cs="Calibri" w:cstheme="minorHAnsi"/>
                <w:b/>
                <w:color w:themeColor="accent2" w:themeShade="bf" w:val="C45911"/>
                <w:sz w:val="20"/>
                <w:szCs w:val="20"/>
              </w:rPr>
            </w:pPr>
            <w:r>
              <w:rPr>
                <w:rFonts w:cs="Calibri" w:cstheme="minorHAnsi"/>
                <w:b/>
                <w:color w:themeColor="accent2" w:themeShade="bf" w:val="C45911"/>
                <w:kern w:val="0"/>
                <w:sz w:val="20"/>
                <w:szCs w:val="20"/>
                <w:lang w:bidi="ar-SA"/>
              </w:rPr>
              <w:t>ocena dobra</w:t>
            </w:r>
          </w:p>
        </w:tc>
        <w:tc>
          <w:tcPr>
            <w:tcW w:w="2092" w:type="dxa"/>
            <w:tcBorders/>
          </w:tcPr>
          <w:p>
            <w:pPr>
              <w:pStyle w:val="Normal"/>
              <w:widowControl/>
              <w:spacing w:before="0" w:after="0"/>
              <w:contextualSpacing/>
              <w:jc w:val="center"/>
              <w:rPr>
                <w:rFonts w:cs="Calibri" w:cstheme="minorHAnsi"/>
                <w:b/>
                <w:color w:themeColor="accent2" w:themeShade="bf" w:val="C45911"/>
                <w:sz w:val="20"/>
                <w:szCs w:val="20"/>
              </w:rPr>
            </w:pPr>
            <w:r>
              <w:rPr>
                <w:rFonts w:cs="Calibri" w:cstheme="minorHAnsi"/>
                <w:b/>
                <w:color w:themeColor="accent2" w:themeShade="bf" w:val="C45911"/>
                <w:kern w:val="0"/>
                <w:sz w:val="20"/>
                <w:szCs w:val="20"/>
                <w:lang w:bidi="ar-SA"/>
              </w:rPr>
              <w:t>ocena bardzo dobra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pacing w:before="0" w:after="0"/>
              <w:contextualSpacing/>
              <w:jc w:val="center"/>
              <w:rPr>
                <w:rFonts w:cs="Calibri" w:cstheme="minorHAnsi"/>
                <w:b/>
                <w:color w:themeColor="accent2" w:themeShade="bf" w:val="C45911"/>
                <w:sz w:val="20"/>
                <w:szCs w:val="20"/>
              </w:rPr>
            </w:pPr>
            <w:r>
              <w:rPr>
                <w:rFonts w:cs="Calibri" w:cstheme="minorHAnsi"/>
                <w:b/>
                <w:color w:themeColor="accent2" w:themeShade="bf" w:val="C45911"/>
                <w:kern w:val="0"/>
                <w:sz w:val="20"/>
                <w:szCs w:val="20"/>
                <w:lang w:bidi="ar-SA"/>
              </w:rPr>
              <w:t>ocena celująca</w:t>
            </w:r>
          </w:p>
        </w:tc>
      </w:tr>
      <w:tr>
        <w:trPr/>
        <w:tc>
          <w:tcPr>
            <w:tcW w:w="1696" w:type="dxa"/>
            <w:vMerge w:val="restart"/>
            <w:tcBorders/>
            <w:textDirection w:val="btLr"/>
          </w:tcPr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numPr>
                <w:ilvl w:val="0"/>
                <w:numId w:val="1"/>
              </w:numPr>
              <w:spacing w:before="0" w:after="0"/>
              <w:ind w:hanging="720" w:left="862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Różnorodność  i jedność świata zwierząt</w:t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I. Świat zwierząt</w:t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1. W królestwie zwierząt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color w:val="000000"/>
                <w:kern w:val="0"/>
                <w:sz w:val="20"/>
                <w:szCs w:val="20"/>
                <w:lang w:bidi="ar-SA"/>
              </w:rPr>
              <w:t>Uczeń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bidi="ar-SA"/>
              </w:rPr>
              <w:t>: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wspólne cechy zwierząt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wyjaśnia, czym różnią się zwierzęta kręgowe od bezkręgowych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color w:val="000000"/>
                <w:kern w:val="0"/>
                <w:sz w:val="20"/>
                <w:szCs w:val="20"/>
                <w:lang w:bidi="ar-SA"/>
              </w:rPr>
              <w:t>Uczeń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bidi="ar-SA"/>
              </w:rPr>
              <w:t>: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przedstawia poziomy organizacji ciała zwierząt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podaje przykłady zwierząt kręgowych i bezkręgowych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color w:val="000000"/>
                <w:kern w:val="0"/>
                <w:sz w:val="20"/>
                <w:szCs w:val="20"/>
                <w:lang w:bidi="ar-SA"/>
              </w:rPr>
              <w:t>Uczeń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bidi="ar-SA"/>
              </w:rPr>
              <w:t>: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definiuje pojęcia 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kern w:val="0"/>
                <w:sz w:val="20"/>
                <w:szCs w:val="20"/>
                <w:lang w:val="pl-PL" w:bidi="ar-SA"/>
              </w:rPr>
              <w:t>komórka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, 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kern w:val="0"/>
                <w:sz w:val="20"/>
                <w:szCs w:val="20"/>
                <w:lang w:val="pl-PL" w:bidi="ar-SA"/>
              </w:rPr>
              <w:t>tkanka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, 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kern w:val="0"/>
                <w:sz w:val="20"/>
                <w:szCs w:val="20"/>
                <w:lang w:val="pl-PL" w:bidi="ar-SA"/>
              </w:rPr>
              <w:t>narząd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, 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kern w:val="0"/>
                <w:sz w:val="20"/>
                <w:szCs w:val="20"/>
                <w:lang w:val="pl-PL" w:bidi="ar-SA"/>
              </w:rPr>
              <w:t>układ narządów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, 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kern w:val="0"/>
                <w:sz w:val="20"/>
                <w:szCs w:val="20"/>
                <w:lang w:val="pl-PL" w:bidi="ar-SA"/>
              </w:rPr>
              <w:t>organizm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podstawie podręcznika przyporządkowuje podane zwierzę do odpowiedniej grupy systematycznej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092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color w:val="000000"/>
                <w:kern w:val="0"/>
                <w:sz w:val="20"/>
                <w:szCs w:val="20"/>
                <w:lang w:bidi="ar-SA"/>
              </w:rPr>
              <w:t>Uczeń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bidi="ar-SA"/>
              </w:rPr>
              <w:t>: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bezkręgowce i kręgowce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pokrycie ciała bezkręgowców i kręgowców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podaje przykłady szkieletów bezkręgowców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color w:val="000000"/>
                <w:kern w:val="0"/>
                <w:sz w:val="20"/>
                <w:szCs w:val="20"/>
                <w:lang w:bidi="ar-SA"/>
              </w:rPr>
              <w:t>Uczeń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bidi="ar-SA"/>
              </w:rPr>
              <w:t>: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prezentuje stopniowo komplikującą się budowę ciała zwierząt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podstawie opisu przyporządkowuje zwierzę do odpowiedniej grupy systematycznej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</w:tr>
      <w:tr>
        <w:trPr/>
        <w:tc>
          <w:tcPr>
            <w:tcW w:w="1696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2. Tkanki: nabłonkowa, mięśniowa i nerwowa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wyjaśnia, czym jest tkanka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podstawowe rodzaje tkanek zwierzęcych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przy pomocy nauczyciela przeprowadza obserwację mikroskopową tkanek zwierzęcych i rysuje obrazy widziane pod mikroskopem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najważniejsze funkcje wskazanej tkanki zwierzęcej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opisuje budowę wskazanej tkanki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przy niewielkiej pomocy nauczyciela przeprowadza obserwację mikroskopową tkanek zwierzęcych i rysuje obrazy widziane pod mikroskopem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określa miejsca występowania w organizmie omawianych tkanek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samodzielnie przeprowadza obserwację mikroskopową tkanek zwierzęcych i przy pomocy nauczyciela rysuje obrazy widziane pod mikroskopem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092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budowę poszczególnych tkanek zwierzęcych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na ilustracji rodzaje tkanek zwierzęcych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budowę i sposób funkcjonowania tkanki mięśniowej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samodzielnie przeprowadza obserwację mikroskopową tkanek zwierzęcych i rysuje obrazy widziane pod mikroskopem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podstawie ilustracji analizuje budowę tkanek zwierzęcych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związek istniejący między budową tkanek zwierzęcych a pełnionymi przez nie funkcjami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samodzielnie przeprowadza obserwację mikroskopową tkanek zwierzęcych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wykonuje z dowolnego materiału model wybranej tkanki zwierzęcej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</w:tr>
      <w:tr>
        <w:trPr/>
        <w:tc>
          <w:tcPr>
            <w:tcW w:w="1696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3. Tkanka łączna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rodzaje tkanki łącznej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składniki krwi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przy pomocy nauczyciela przeprowadza obserwację mikroskopową tkanek zwierzęcych i rozpoznaje elementy tkanki widziane pod mikroskopem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wskazuje rozmieszczenie omawianych tkanek w organizmie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opisuje składniki krwi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przy niewielkiej pomocy nauczyciela przeprowadza obserwację mikroskopową tkanek zwierzęcych i rozpoznaje elementy tkanki widziane pod mikroskopem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wskazuje zróżnicowanie w budowie tkanki łącznej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omawia funkcje składników krwi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samodzielnie przeprowadza obserwację mikroskopową tkanek zwierzęcych i przy niewielkiej pomocy nauczyciela rozpoznaje charakterystyczne elementy obserwowanej tkanki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092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właściwości i funkcje tkanki kostnej, chrzęstnej i tłuszczowej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rolę poszczególnych składników morfotycznych krwi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samodzielnie przeprowadza obserwację mikroskopową tkanek zwierzęcych i na podstawie ilustracji rozpoznaje charakterystyczne elementy obserwowanej tkanki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związek istniejący między budową elementów krwi a pełnionymi przez nie funkcjami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samodzielnie przeprowadza obserwację mikroskopową tkanek zwierzęcych i na podstawie ilustracji rozpoznaje oraz opisuje elementy tkanki widziane pod mikroskopem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</w:tr>
      <w:tr>
        <w:trPr/>
        <w:tc>
          <w:tcPr>
            <w:tcW w:w="1696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4. Płazińce – zwierzęta, które mają płaskie ciało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miejsce występowania płazińców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na ilustracji tasiemca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na ilustracji elementy budowy tasiemca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drogi inwazji tasiemca do organizmu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opisuje  na podstawie  schematu cyklu rozwojowego tasiemca żywiciela pośredniego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przystosowanie tasiemca do pasożytniczego trybu życia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wyjaśnia znaczenie płazińców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 rolę żywiciela pośredniego i ostatecznego w cyklu rozwojowym tasiemca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092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wskazane czynności życiowe płazińców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sposoby zapobiegania zarażeniu się tasiemcem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analizuje możliwości zakażenia się chorobami wywoływanymi przez płazińce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ocenia znaczenie płazińców w przyrodzie i dla człowieka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</w:tr>
      <w:tr>
        <w:trPr/>
        <w:tc>
          <w:tcPr>
            <w:tcW w:w="1696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i/>
                <w:color w:val="000000"/>
                <w:kern w:val="0"/>
                <w:sz w:val="20"/>
                <w:szCs w:val="20"/>
                <w:lang w:bidi="ar-SA"/>
              </w:rPr>
              <w:t>5</w:t>
            </w: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. Nicienie – zwierzęta, które mają nitkowate ciało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środowisko życia nicieni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na ilustracji nicienie wśród innych zwierząt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charakterystyczne cechy nicieni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budowę zewnętrzną nicieni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choroby wywołane przez nicienie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drogi inwazji nicieni do organizmu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wyjaśnia, na czym polega „choroba brudnych rąk”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092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charakteryzuje objawy chorób wywołanych przez nicienie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znaczenie profilaktyki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analizuje możliwości zakażenia się chorobami wywoływanymi przez nicienie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przygotowuje prezentację np. PowerPoint) na temat chorób wywoływanych przez nicienie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znaczenie nicieni w przyrodzie i dla człowieka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</w:tr>
      <w:tr>
        <w:trPr/>
        <w:tc>
          <w:tcPr>
            <w:tcW w:w="1696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val="pl-PL" w:bidi="ar-SA"/>
              </w:rPr>
              <w:t xml:space="preserve">6. </w:t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sz w:val="20"/>
                <w:szCs w:val="20"/>
                <w:lang w:val="pl-PL" w:bidi="ar-SA"/>
              </w:rPr>
              <w:t>Pierścienice (skąposzczety i pijawki) – zwierzęta, które mają segmentowane ciało</w:t>
            </w:r>
            <w:r>
              <w:rPr>
                <w:rFonts w:cs="Calibri" w:cstheme="minorHAnsi"/>
                <w:b/>
                <w:kern w:val="0"/>
                <w:sz w:val="20"/>
                <w:szCs w:val="20"/>
                <w:lang w:val="pl-PL" w:bidi="ar-SA"/>
              </w:rPr>
              <w:t xml:space="preserve"> </w:t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pierścienice wśród innych zwierząt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środowisko życia pierścienic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cechy charakterystyczne budowy zewnętrznej pierścienic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wyjaśnia znaczenie szczecinek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środowisko i tryb życia pijawki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żywym okazie dżdżownicy lub na ilustracji wskazuje siodełko i wyjaśnia jego rolę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092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wskazuje przystosowania pijawki do pasożytniczego trybu życia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wskazane czynności życiowe pierścienic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zakłada hodowlę dżdżownic, wskazując, jak zwierzęta te przyczyniają się do poprawy struktury gleby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ocenia znaczenie pierścienic w przyrodzie i dla człowieka</w:t>
            </w:r>
          </w:p>
        </w:tc>
      </w:tr>
      <w:tr>
        <w:trPr/>
        <w:tc>
          <w:tcPr>
            <w:tcW w:w="1696" w:type="dxa"/>
            <w:vMerge w:val="restart"/>
            <w:tcBorders/>
            <w:textDirection w:val="btLr"/>
          </w:tcPr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numPr>
                <w:ilvl w:val="0"/>
                <w:numId w:val="2"/>
              </w:numPr>
              <w:spacing w:before="0" w:after="0"/>
              <w:ind w:hanging="720" w:left="83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Stawonogi (skorupiaki, owady i pajęczaki)</w:t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III. Stawonogi</w:t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i mięczaki</w:t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7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bidi="ar-SA"/>
              </w:rPr>
              <w:t xml:space="preserve">. </w:t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Stawonogi            ( skorupiaki, owady, pajęczaki)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rozpoznaje stawonogi wśród innych zwierząt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wymienia skorupiaki, owady i pajęczaki jako zwierzęta należące do stawonogów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wymienia główne części ciała poszczególnych grup stawonogów </w:t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wymienia miejsca bytowania stawonogów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rozróżnia wśród stawonogów skorupiaki, owady i pajęczaki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wykazuje różnorodność miejsc bytowania stawonogów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przedstawia kryteria podziału stawonogów na skorupiaki, owady i pajęczaki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opisuje funkcje odnóży stawonogów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092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charakteryzuje wskazane czynności życiowe stawonogów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omawia cechy umożliwiające rozpoznanie skorupiaków, owadów i pajęczaków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wymienia cechy adaptacyjne wskazanej grupy stawonogów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wyjaśnia, czym jest oko złożone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przedstawia różnorodność budowy ciała stawonogów oraz ich trybu życia, wykazując jednocześnie ich cechy wspólne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analizuje cechy adaptacyjne stawonogów, umożliwiające im opanowanie różnych środowisk </w:t>
            </w:r>
          </w:p>
        </w:tc>
      </w:tr>
      <w:tr>
        <w:trPr/>
        <w:tc>
          <w:tcPr>
            <w:tcW w:w="1696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9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bidi="ar-SA"/>
              </w:rPr>
              <w:t xml:space="preserve">. </w:t>
            </w: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Skorupiaki – stawonogi, które mają twardy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 xml:space="preserve">pancerz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wymienia główne części ciała skorupiaków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rozpoznaje skorupiaki wśród innych stawonogów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wskazuje środowiska występowania skorupiaków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opisuje budowę zewnętrzną skorupiaków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nazywa poszczególne części ciała u raka stawowego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omawia wskazane czynności życiowe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092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wykazuje związek między budową skorupiaków a środowiskiem ich życia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wynienia znaczenie skorupiaków w przyrodzie </w:t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charakteryzuje znaczenie skorupiaków w przyrodzie i dla człowieka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</w:tr>
      <w:tr>
        <w:trPr/>
        <w:tc>
          <w:tcPr>
            <w:tcW w:w="1696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 xml:space="preserve">10. Owady – stawonogi zdolne do lotu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wymienia elementy budowy zewnętrznej owadów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wylicza środowiska życia owadów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rozpoznaje owady wśród innych stawonogów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wskazuje charakterystyczne cechy budowy wybranych gatunków owadów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na wybranych przykładach omawia znaczenie owadów dla człowieka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na kilku przykładach omawia różnice w budowie owadów oraz ich przystosowania do życia w różnych środowiskach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na wybranych przykładach omawia znaczenie owadów dla człowieka </w:t>
            </w:r>
          </w:p>
        </w:tc>
        <w:tc>
          <w:tcPr>
            <w:tcW w:w="2092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wykazuje związek istniejący między budową odnóży owadów a środowiskiem ich życia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na wybranych przykładach omawia znaczenie owadów w przyrodzie i dla człowieka </w:t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analizuje budowę narządów gębowych owadów i wykazuje jej związek z pobieranym pokarmem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</w:tr>
      <w:tr>
        <w:trPr/>
        <w:tc>
          <w:tcPr>
            <w:tcW w:w="1696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 xml:space="preserve">11. Pajęczaki – stawonogi, które mają cztery pary odnóży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wymienia środowiska występowania pajęczaków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rozpoznaje pajęczaki wśród innych stawonogów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wskazuje charakterystyczne cechy budowy zewnętrznej pajęczaków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omawia sposób odżywiania się pajęczaków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na podstawie cech budowy zewnętrznej pajęczaków przyporządkowuje konkretne okazy do odpowiednich gatunków przedstawionych w podręczniku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na podstawie obserwacji żywych okazów lub filmu edukacyjnego omawia czynności życiowe pajęczaków </w:t>
            </w:r>
          </w:p>
        </w:tc>
        <w:tc>
          <w:tcPr>
            <w:tcW w:w="2092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omawia sposoby odżywiania się pajęczaków na przykładzie wybranych przedstawicieli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charakteryzuje odnóża pajęczaków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ocenia znaczenie pajęczaków w przyrodzie i dla człowieka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analizuje elementy budowy zewnętrznej pajęczaków i wykazuje ich przystosowania do środowiska życia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</w:tr>
      <w:tr>
        <w:trPr/>
        <w:tc>
          <w:tcPr>
            <w:tcW w:w="1696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12. Mięczaki – zwierzęta, które mają muszlę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miejsca występowania mięczaków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na ilustracji elementy budowy ślimaka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budowę zewnętrzną mięczaków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na ilustracjach elementy budowy mięczaków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podstawie obserwacji żywych okazów lub filmu  omawia czynności życiowe mięczaków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092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różnice w budowie ślimaków, małży i głowonogów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znaczenie mięczaków w przyrodzie i dla człowieka</w:t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rozpoznaje na ilustracji gatunki ślimaków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konstruuje tabelę, w której porównuje trzy grupy mięczaków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</w:tr>
      <w:tr>
        <w:trPr/>
        <w:tc>
          <w:tcPr>
            <w:tcW w:w="1696" w:type="dxa"/>
            <w:vMerge w:val="restart"/>
            <w:tcBorders/>
            <w:textDirection w:val="btLr"/>
          </w:tcPr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42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IV.Kręgowce zmiennocieplne</w:t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IV. Kręgowce zmiennocieplne</w:t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13. Ryby – kręgowce środowisk wodnych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wodę jako środowisko życia ryb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ryby wśród innych zwierząt kręgowych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podstawie ilustracji omawia budowę zewnętrzną ryb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przyporządkowuje wskazany organizm do ryb na podstawie znajomości ich cech charakterystycznych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podstawie obserwacji żywych okazów lub filmu  omawia czynności życiowe ryb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nazywa płetwy  i wskazuje ich położenie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opisuje proces wymiany gazowej u ryb</w:t>
            </w:r>
          </w:p>
        </w:tc>
        <w:tc>
          <w:tcPr>
            <w:tcW w:w="2092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wyjaśnia, na czym polega zmiennocieplność ryb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sposób rozmnażania ryb, wyjaśniając, czym jest tarło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przystosowania ryb w budowie zewnętrznej i czynnościach życiowych do życia w wodzie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</w:tr>
      <w:tr>
        <w:trPr/>
        <w:tc>
          <w:tcPr>
            <w:tcW w:w="1696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14. Przegląd i znaczenie ryb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kilka gatunków ryb przedstawionych w podręczniku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nazywa  rybę  wskazywaną przez nauczyciela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podaje przykłady zdobywania pokarmu przez ryby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podaje nazwę ryby dwuśrodowiskowej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kilkoma przykładami ilustruje strategie zdobywania pokarmu przez ryby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kilka nazw gatunkowych ryb żyjących w Bałtyku</w:t>
            </w:r>
          </w:p>
        </w:tc>
        <w:tc>
          <w:tcPr>
            <w:tcW w:w="2092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znaczenie ryb w przyrodzie i dla człowieka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zagrożenia i konieczność ochrony ryb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związek istniejący między budową ryb a miejscem ich bytowania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</w:tr>
      <w:tr>
        <w:trPr/>
        <w:tc>
          <w:tcPr>
            <w:tcW w:w="1696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15. Płazy – bezoogonowe i ogoniaste. kręgowce środowisk wodno</w:t>
              <w:softHyphen/>
              <w:t>-lądowych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środowisko życia płazów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części ciała płazów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podstawie ilustracji omawia budowę zewnętrzną płaza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stadia rozwojowe żaby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przystosowania płazów do życia w wodzie i na lądzie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wybrane czynności życiowe płazów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092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cykl rozwojowy żaby i wykazuje jego związek z życiem w wodzie i na lądzie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przedstawicieli płazów wśród innych zwierząt, wskazując na ich charakterystyczne cechy</w:t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wyjaśnia, w jaki sposób przebiega wymiana gazowa u płazów, wykazując związek z ich życiem w dwóch środowiskach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związek istniejący między trybem życia płazów a ich zmiennocieplnością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</w:tr>
      <w:tr>
        <w:trPr/>
        <w:tc>
          <w:tcPr>
            <w:tcW w:w="1696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16. Przegląd i znaczenie płazów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 na ilustracji płazy ogoniaste, beznogie i bezogonowe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podaje przykłady płazów żyjących w Polsce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główne zagrożenia dla płazów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na ilustracji przykłady  płazów  ogoniastych , bezogonowych  i beznogich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główne zagrożenia dla płazów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092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płazy ogoniaste, bezogonowe i beznogie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sposoby ochrony płazów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ocenia znaczenie płazów w przyrodzie i dla człowieka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wykonuje portfolio lub prezentację multimedialną na temat płazów żyjących w Polsce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</w:tr>
      <w:tr>
        <w:trPr/>
        <w:tc>
          <w:tcPr>
            <w:tcW w:w="1696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17. Gady – kręgowce, które opanowały ląd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środowiska życia gadów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budowę zewnętrzną gadów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wyjaśnia związek istniejący między występowaniem gadów a ich zmiennocieplnością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gady wśród innych zwierząt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opisuje przystosowania gadów do życia na lądzie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tryb życia gadów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092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rozmnażanie i rozwój gadów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analizuje przebieg wymiany gazowej u gadów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analizuje pokrycie ciała gadów w kontekście ochrony przed utratą wody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związek między sposobem rozmnażania gadów a środowiskiem ich życia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</w:tr>
      <w:tr>
        <w:trPr/>
        <w:tc>
          <w:tcPr>
            <w:tcW w:w="1696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 xml:space="preserve">18. Przegląd i znaczenie gadów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wskazuje na ilustracji jaszczurki, krokodyle, węże i żółwie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określa środowiska życia gadów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podaje przyczyny zmniejszania się populacji gadów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omawia sposoby zdobywania pokarmu przez gady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wskazuje sposoby ochrony gadów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092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charakteryzuje gady występujące w Polsce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wyjaśnia przyczyny wymierania gadów i podaje sposoby zapobiegania zmniejszaniu się ich populacji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ocenia znaczenie gadów w przyrodzie i dla człowieka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prezentację (np. PowerPoint) na temat gadów żyjących w Polsce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</w:tr>
      <w:tr>
        <w:trPr/>
        <w:tc>
          <w:tcPr>
            <w:tcW w:w="1696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spacing w:before="0" w:after="0"/>
              <w:ind w:hanging="720" w:left="833" w:right="113"/>
              <w:contextualSpacing/>
              <w:jc w:val="lef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sz w:val="20"/>
                <w:szCs w:val="20"/>
                <w:lang w:val="pl-PL"/>
              </w:rPr>
              <w:t>Kręgowce  stałocieplne</w:t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kern w:val="0"/>
                <w:sz w:val="20"/>
                <w:szCs w:val="20"/>
                <w:lang w:bidi="ar-SA"/>
              </w:rPr>
              <w:t>V. Kręgowce stałocieplne</w:t>
            </w:r>
          </w:p>
        </w:tc>
        <w:tc>
          <w:tcPr>
            <w:tcW w:w="1843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 xml:space="preserve">19. Ptaki – kręgowce zdolne do lotu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wymienia różnorodne siedliska występowania ptaków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na żywym okazie lub na ilustracji wskazuje cechy budowy ptaków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rozpoznaje ptaki wśród innych zwierząt, wskazując ich charakterystyczne cechy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rozpoznaje rodzaje piór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wymienia elementy budowy jaja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wskazuje ptaki jako zwierzęta stałocieplne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omawia przystosowania ptaków do lotu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omawia budowę piór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wyjaśnia proces rozmnażania i rozwój ptaków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rolę piór w utrzymaniu stałocieplności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092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analizuje budowę piór ptaków w związku z pełnioną przez nie funkcją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wykazuje związek istniejący między wymianą gazową a umiejętnością latania ptaków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wyjaśnia proces rozmnażania i rozwoju ptaków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wykazuje związek istniejący między przebiegiem wymiany gazowej a przystosowaniem ptaków do lotu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rozpoznaje na ilustracji lub podczas obserwacji w terenie rozpoznaje gatunki ptaków zamieszkujących najbliższą okolicę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</w:tr>
      <w:tr>
        <w:trPr/>
        <w:tc>
          <w:tcPr>
            <w:tcW w:w="1696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 xml:space="preserve">20. Przegląd </w:t>
            </w:r>
          </w:p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 xml:space="preserve">i znaczenie ptaków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wymienia  przykłady ptaków żyjących w różnych środowiskach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ocenia  pozytywne znaczenie ptaków w przyrodzie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omawia znaczenie ptaków w przyrodzie i dla człowieka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wskazuje zagrożenia dla ptaków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092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wykazuje związek istniejący między wielkością i kształtem dziobów ptaków a rodzajem spożywanego przez nie pokarmu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omawia sposoby ochrony ptaków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wykazuje związek między stałocieplnością ptaków a środowiskiem i trybem ich życia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korzysta z aplikacji  do oznaczania popularnych gatunków ptaków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</w:tr>
      <w:tr>
        <w:trPr/>
        <w:tc>
          <w:tcPr>
            <w:tcW w:w="1696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 xml:space="preserve">21. Ssaki łożyskowe kręgowce, które karmią młode mlekiem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wskazuje środowiska występowania ssaków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na podstawie ilustracji omawia budowę zewnętrzną ssaków </w:t>
            </w:r>
          </w:p>
          <w:p>
            <w:pPr>
              <w:pStyle w:val="Normal"/>
              <w:widowControl/>
              <w:spacing w:before="0" w:after="0"/>
              <w:ind w:firstLine="708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wykazuje zróżnicowanie siedlisk zajmowanych przez ssaki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określa ssaki jako zwierzęta stałocieplne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wymienia wytwory skóry ssaków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ilustracji lub na żywym obiekcie wskazuje cechy charakterystyczne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i wspólne dla ssaków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wyjaśnia, że budowa skóry ssaków ma związek z utrzymywaniem przez nie stałocieplności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omawia proces rozmnażania i rozwój ssaków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092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opisuje przystosowania ssaków do różnych środowisk życia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charakteryzuje opiekę nad potomstwem u ssaków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identyfikuje wytwory skóry ssaków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analizuje związek zachodzący między wymianą gazową ssaków a zróżnicowanymi środowiskami ich występowania i ich życiową aktywnością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analizuje funkcje skóry w aspekcie różnorodności siedlisk zajmowanych przez ssaki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</w:tr>
      <w:tr>
        <w:trPr/>
        <w:tc>
          <w:tcPr>
            <w:tcW w:w="1696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 xml:space="preserve">22. Przegląd </w:t>
            </w:r>
          </w:p>
          <w:p>
            <w:pPr>
              <w:pStyle w:val="Pa21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 xml:space="preserve">i znaczenie ssaków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wymienia przystosowania ssaków do zróżnicowanych środowisk ich bytowania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wykazuje zależność między budową morfologiczną ssaków a zajmowanym przez nie siedliskiem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nazywa wskazane zęby ssaków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rozpoznaje zęby ssaków i wyjaśnia ich funkcje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wyjaśnia znaczenie ssaków dla przyrody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092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omawia znaczenie ssaków dla człowieka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wymienia zagrożenia dla ssaków 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analizuje zagrożenia ssaków i wskazuje sposoby ich ochrony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przynależność człowieka do ssaków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bidi="ar-SA"/>
              </w:rPr>
            </w:r>
          </w:p>
        </w:tc>
      </w:tr>
    </w:tbl>
    <w:p>
      <w:pPr>
        <w:pStyle w:val="Normal"/>
        <w:spacing w:before="0" w:after="0"/>
        <w:contextualSpacing/>
        <w:rPr>
          <w:sz w:val="20"/>
        </w:rPr>
      </w:pPr>
      <w:r>
        <w:rPr>
          <w:sz w:val="20"/>
        </w:rPr>
      </w:r>
    </w:p>
    <w:p>
      <w:pPr>
        <w:pStyle w:val="Normal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orient="landscape" w:w="16838" w:h="11906"/>
      <w:pgMar w:left="1418" w:right="1418" w:gutter="0" w:header="0" w:top="1418" w:footer="709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swiss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02"/>
    <w:family w:val="swiss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  <w:font w:name="Roboto">
    <w:charset w:val="ee"/>
    <w:family w:val="roman"/>
    <w:pitch w:val="variable"/>
  </w:font>
  <w:font w:name="Humanst521EU">
    <w:charset w:val="ee"/>
    <w:family w:val="roman"/>
    <w:pitch w:val="variable"/>
  </w:font>
  <w:font w:name="Calibri">
    <w:charset w:val="ee"/>
    <w:family w:val="roman"/>
    <w:pitch w:val="variable"/>
  </w:font>
  <w:font w:name="Wingdings 2">
    <w:charset w:val="0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  <w:p>
    <w:pPr>
      <w:pStyle w:val="Stopka1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  <w:p>
    <w:pPr>
      <w:pStyle w:val="Stopka1"/>
      <w:jc w:val="cen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left"/>
      <w:pPr>
        <w:tabs>
          <w:tab w:val="num" w:pos="0"/>
        </w:tabs>
        <w:ind w:left="862" w:hanging="72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193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913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633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353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073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793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513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233" w:hanging="180"/>
      </w:pPr>
      <w:rPr/>
    </w:lvl>
  </w:abstractNum>
  <w:abstractNum w:abstractNumId="2">
    <w:lvl w:ilvl="0">
      <w:start w:val="3"/>
      <w:numFmt w:val="upperRoman"/>
      <w:lvlText w:val="%1."/>
      <w:lvlJc w:val="left"/>
      <w:pPr>
        <w:tabs>
          <w:tab w:val="num" w:pos="0"/>
        </w:tabs>
        <w:ind w:left="833" w:hanging="72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193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913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633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353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073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793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513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233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284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5451e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uiPriority w:val="99"/>
    <w:qFormat/>
    <w:rsid w:val="00be283b"/>
    <w:rPr>
      <w:rFonts w:ascii="Times New Roman" w:hAnsi="Times New Roman" w:eastAsia="Times New Roman"/>
      <w:sz w:val="24"/>
    </w:rPr>
  </w:style>
  <w:style w:type="character" w:styleId="Znakiprzypiswdolnych">
    <w:name w:val="Znaki przypisów dolnych"/>
    <w:semiHidden/>
    <w:qFormat/>
    <w:rsid w:val="00be283b"/>
    <w:rPr>
      <w:b/>
      <w:sz w:val="18"/>
      <w:vertAlign w:val="superscript"/>
    </w:rPr>
  </w:style>
  <w:style w:type="character" w:styleId="FootnoteReference">
    <w:name w:val="footnote reference"/>
    <w:rPr>
      <w:b/>
      <w:sz w:val="18"/>
      <w:vertAlign w:val="superscript"/>
    </w:rPr>
  </w:style>
  <w:style w:type="character" w:styleId="TekstprzypisudolnegoZnak" w:customStyle="1">
    <w:name w:val="Tekst przypisu dolnego Znak"/>
    <w:semiHidden/>
    <w:qFormat/>
    <w:rsid w:val="00be283b"/>
    <w:rPr>
      <w:rFonts w:ascii="Times New Roman" w:hAnsi="Times New Roman" w:eastAsia="Times New Roman"/>
    </w:rPr>
  </w:style>
  <w:style w:type="character" w:styleId="StopkaZnak" w:customStyle="1">
    <w:name w:val="Stopka Znak"/>
    <w:uiPriority w:val="99"/>
    <w:qFormat/>
    <w:rsid w:val="000e7d0e"/>
    <w:rPr>
      <w:rFonts w:ascii="Times New Roman" w:hAnsi="Times New Roman" w:eastAsia="Times New Roman"/>
      <w:sz w:val="24"/>
      <w:szCs w:val="24"/>
      <w:lang w:val="en-US" w:eastAsia="en-US"/>
    </w:rPr>
  </w:style>
  <w:style w:type="character" w:styleId="Znakinumeracji" w:customStyle="1">
    <w:name w:val="Znaki numeracji"/>
    <w:qFormat/>
    <w:rsid w:val="00c2032c"/>
    <w:rPr/>
  </w:style>
  <w:style w:type="character" w:styleId="Znakiwypunktowania" w:customStyle="1">
    <w:name w:val="Znaki wypunktowania"/>
    <w:qFormat/>
    <w:rsid w:val="00c2032c"/>
    <w:rPr>
      <w:rFonts w:ascii="OpenSymbol" w:hAnsi="OpenSymbol" w:eastAsia="OpenSymbol" w:cs="OpenSymbol"/>
    </w:rPr>
  </w:style>
  <w:style w:type="character" w:styleId="TekstkomentarzaZnak" w:customStyle="1">
    <w:name w:val="Tekst komentarza Znak"/>
    <w:link w:val="CommentText"/>
    <w:uiPriority w:val="99"/>
    <w:semiHidden/>
    <w:qFormat/>
    <w:rsid w:val="00c2032c"/>
    <w:rPr>
      <w:rFonts w:ascii="Times New Roman" w:hAnsi="Times New Roman" w:eastAsia="Andale Sans UI" w:cs="Tahoma"/>
      <w:kern w:val="2"/>
      <w:lang w:val="de-DE" w:eastAsia="ja-JP" w:bidi="fa-IR"/>
    </w:rPr>
  </w:style>
  <w:style w:type="character" w:styleId="TematkomentarzaZnak" w:customStyle="1">
    <w:name w:val="Temat komentarza Znak"/>
    <w:link w:val="annotationsubject"/>
    <w:uiPriority w:val="99"/>
    <w:semiHidden/>
    <w:qFormat/>
    <w:rsid w:val="00c2032c"/>
    <w:rPr>
      <w:rFonts w:ascii="Times New Roman" w:hAnsi="Times New Roman" w:eastAsia="Andale Sans UI" w:cs="Tahoma"/>
      <w:b/>
      <w:bCs/>
      <w:kern w:val="2"/>
      <w:lang w:val="de-DE" w:eastAsia="ja-JP" w:bidi="fa-IR"/>
    </w:rPr>
  </w:style>
  <w:style w:type="character" w:styleId="TekstdymkaZnak" w:customStyle="1">
    <w:name w:val="Tekst dymka Znak"/>
    <w:link w:val="BalloonText"/>
    <w:uiPriority w:val="99"/>
    <w:semiHidden/>
    <w:qFormat/>
    <w:rsid w:val="00c2032c"/>
    <w:rPr>
      <w:rFonts w:ascii="Tahoma" w:hAnsi="Tahoma" w:eastAsia="Andale Sans UI" w:cs="Tahoma"/>
      <w:kern w:val="2"/>
      <w:sz w:val="16"/>
      <w:szCs w:val="16"/>
      <w:lang w:val="de-DE" w:eastAsia="ja-JP" w:bidi="fa-IR"/>
    </w:rPr>
  </w:style>
  <w:style w:type="character" w:styleId="PlandokumentuZnak" w:customStyle="1">
    <w:name w:val="Plan dokumentu Znak"/>
    <w:link w:val="Plandokumentu1"/>
    <w:uiPriority w:val="99"/>
    <w:semiHidden/>
    <w:qFormat/>
    <w:rsid w:val="00c2032c"/>
    <w:rPr>
      <w:rFonts w:ascii="Tahoma" w:hAnsi="Tahoma" w:eastAsia="Andale Sans UI" w:cs="Tahoma"/>
      <w:kern w:val="2"/>
      <w:sz w:val="16"/>
      <w:szCs w:val="16"/>
      <w:lang w:val="de-DE" w:eastAsia="ja-JP" w:bidi="fa-IR"/>
    </w:rPr>
  </w:style>
  <w:style w:type="character" w:styleId="CommentReference">
    <w:name w:val="annotation reference"/>
    <w:uiPriority w:val="99"/>
    <w:semiHidden/>
    <w:unhideWhenUsed/>
    <w:qFormat/>
    <w:rsid w:val="00524057"/>
    <w:rPr>
      <w:sz w:val="16"/>
      <w:szCs w:val="16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rsid w:val="00c2032c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Standard"/>
    <w:qFormat/>
    <w:rsid w:val="00c2032c"/>
    <w:pPr>
      <w:suppressLineNumbers/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rsid w:val="00be283b"/>
    <w:pPr>
      <w:widowControl w:val="false"/>
      <w:tabs>
        <w:tab w:val="clear" w:pos="284"/>
        <w:tab w:val="center" w:pos="4252" w:leader="none"/>
        <w:tab w:val="right" w:pos="8504" w:leader="none"/>
      </w:tabs>
      <w:spacing w:before="0" w:after="120"/>
      <w:jc w:val="both"/>
    </w:pPr>
    <w:rPr>
      <w:szCs w:val="20"/>
      <w:lang w:val="pl-PL" w:eastAsia="pl-PL"/>
    </w:rPr>
  </w:style>
  <w:style w:type="paragraph" w:styleId="FootnoteText">
    <w:name w:val="footnote text"/>
    <w:basedOn w:val="Normal"/>
    <w:link w:val="TekstprzypisudolnegoZnak"/>
    <w:semiHidden/>
    <w:rsid w:val="00be283b"/>
    <w:pPr>
      <w:widowControl w:val="false"/>
      <w:suppressAutoHyphens w:val="true"/>
      <w:ind w:hanging="227" w:left="227"/>
    </w:pPr>
    <w:rPr>
      <w:sz w:val="20"/>
      <w:szCs w:val="20"/>
      <w:lang w:val="pl-PL" w:eastAsia="pl-PL"/>
    </w:rPr>
  </w:style>
  <w:style w:type="paragraph" w:styleId="Standard" w:customStyle="1">
    <w:name w:val="Standard"/>
    <w:qFormat/>
    <w:rsid w:val="00c503c3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Andale Sans UI" w:cs="Tahoma"/>
      <w:color w:val="auto"/>
      <w:kern w:val="2"/>
      <w:sz w:val="24"/>
      <w:szCs w:val="24"/>
      <w:lang w:val="de-DE" w:eastAsia="ja-JP" w:bidi="fa-IR"/>
    </w:rPr>
  </w:style>
  <w:style w:type="paragraph" w:styleId="Footer">
    <w:name w:val="footer"/>
    <w:basedOn w:val="Normal"/>
    <w:link w:val="StopkaZnak"/>
    <w:uiPriority w:val="99"/>
    <w:unhideWhenUsed/>
    <w:rsid w:val="000e7d0e"/>
    <w:pPr>
      <w:tabs>
        <w:tab w:val="clear" w:pos="284"/>
        <w:tab w:val="center" w:pos="4536" w:leader="none"/>
        <w:tab w:val="right" w:pos="9072" w:leader="none"/>
      </w:tabs>
    </w:pPr>
    <w:rPr/>
  </w:style>
  <w:style w:type="paragraph" w:styleId="Nagwek1" w:customStyle="1">
    <w:name w:val="Nagłówek1"/>
    <w:basedOn w:val="Standard"/>
    <w:next w:val="Textbody"/>
    <w:qFormat/>
    <w:rsid w:val="00c2032c"/>
    <w:pPr>
      <w:keepNext w:val="true"/>
      <w:spacing w:before="240" w:after="120"/>
    </w:pPr>
    <w:rPr>
      <w:rFonts w:ascii="Arial" w:hAnsi="Arial"/>
      <w:sz w:val="28"/>
      <w:szCs w:val="28"/>
    </w:rPr>
  </w:style>
  <w:style w:type="paragraph" w:styleId="Textbody" w:customStyle="1">
    <w:name w:val="Text body"/>
    <w:basedOn w:val="Standard"/>
    <w:qFormat/>
    <w:rsid w:val="00c2032c"/>
    <w:pPr>
      <w:spacing w:before="0" w:after="120"/>
    </w:pPr>
    <w:rPr/>
  </w:style>
  <w:style w:type="paragraph" w:styleId="Legenda1" w:customStyle="1">
    <w:name w:val="Legenda1"/>
    <w:basedOn w:val="Standard"/>
    <w:qFormat/>
    <w:rsid w:val="00c2032c"/>
    <w:pPr>
      <w:suppressLineNumbers/>
      <w:spacing w:before="120" w:after="120"/>
    </w:pPr>
    <w:rPr>
      <w:i/>
      <w:iCs/>
    </w:rPr>
  </w:style>
  <w:style w:type="paragraph" w:styleId="Zawartotabeli" w:customStyle="1">
    <w:name w:val="Zawartość tabeli"/>
    <w:basedOn w:val="Standard"/>
    <w:qFormat/>
    <w:rsid w:val="00c2032c"/>
    <w:pPr>
      <w:suppressLineNumbers/>
    </w:pPr>
    <w:rPr/>
  </w:style>
  <w:style w:type="paragraph" w:styleId="Nagwektabeli" w:customStyle="1">
    <w:name w:val="Nagłówek tabeli"/>
    <w:basedOn w:val="Zawartotabeli"/>
    <w:qFormat/>
    <w:rsid w:val="00c2032c"/>
    <w:pPr>
      <w:jc w:val="center"/>
    </w:pPr>
    <w:rPr>
      <w:b/>
      <w:bCs/>
    </w:rPr>
  </w:style>
  <w:style w:type="paragraph" w:styleId="Stopka1" w:customStyle="1">
    <w:name w:val="Stopka1"/>
    <w:basedOn w:val="Standard"/>
    <w:qFormat/>
    <w:rsid w:val="00c2032c"/>
    <w:pPr>
      <w:suppressLineNumbers/>
      <w:tabs>
        <w:tab w:val="clear" w:pos="284"/>
        <w:tab w:val="center" w:pos="7285" w:leader="none"/>
        <w:tab w:val="right" w:pos="14570" w:leader="none"/>
      </w:tabs>
    </w:pPr>
    <w:rPr/>
  </w:style>
  <w:style w:type="paragraph" w:styleId="ListParagraph">
    <w:name w:val="List Paragraph"/>
    <w:basedOn w:val="Normal"/>
    <w:uiPriority w:val="34"/>
    <w:qFormat/>
    <w:rsid w:val="00c2032c"/>
    <w:pPr>
      <w:widowControl w:val="false"/>
      <w:suppressAutoHyphens w:val="true"/>
      <w:ind w:left="720"/>
      <w:textAlignment w:val="baseline"/>
    </w:pPr>
    <w:rPr>
      <w:rFonts w:eastAsia="Andale Sans UI" w:cs="Tahoma"/>
      <w:kern w:val="2"/>
      <w:lang w:val="de-DE" w:eastAsia="ja-JP" w:bidi="fa-IR"/>
    </w:rPr>
  </w:style>
  <w:style w:type="paragraph" w:styleId="CommentText">
    <w:name w:val="annotation text"/>
    <w:basedOn w:val="Normal"/>
    <w:link w:val="TekstkomentarzaZnak"/>
    <w:uiPriority w:val="99"/>
    <w:semiHidden/>
    <w:unhideWhenUsed/>
    <w:rsid w:val="00c2032c"/>
    <w:pPr>
      <w:widowControl w:val="false"/>
      <w:suppressAutoHyphens w:val="true"/>
      <w:textAlignment w:val="baseline"/>
    </w:pPr>
    <w:rPr>
      <w:rFonts w:eastAsia="Andale Sans UI" w:cs="Tahoma"/>
      <w:kern w:val="2"/>
      <w:sz w:val="20"/>
      <w:szCs w:val="20"/>
      <w:lang w:val="de-DE" w:eastAsia="ja-JP" w:bidi="fa-IR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c2032c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2032c"/>
    <w:pPr>
      <w:widowControl w:val="false"/>
      <w:suppressAutoHyphens w:val="true"/>
      <w:textAlignment w:val="baseline"/>
    </w:pPr>
    <w:rPr>
      <w:rFonts w:ascii="Tahoma" w:hAnsi="Tahoma" w:eastAsia="Andale Sans UI" w:cs="Tahoma"/>
      <w:kern w:val="2"/>
      <w:sz w:val="16"/>
      <w:szCs w:val="16"/>
      <w:lang w:val="de-DE" w:eastAsia="ja-JP" w:bidi="fa-IR"/>
    </w:rPr>
  </w:style>
  <w:style w:type="paragraph" w:styleId="Plandokumentu1" w:customStyle="1">
    <w:name w:val="Plan dokumentu1"/>
    <w:basedOn w:val="Normal"/>
    <w:link w:val="PlandokumentuZnak"/>
    <w:uiPriority w:val="99"/>
    <w:semiHidden/>
    <w:unhideWhenUsed/>
    <w:qFormat/>
    <w:rsid w:val="00c2032c"/>
    <w:pPr>
      <w:widowControl w:val="false"/>
      <w:suppressAutoHyphens w:val="true"/>
      <w:textAlignment w:val="baseline"/>
    </w:pPr>
    <w:rPr>
      <w:rFonts w:ascii="Tahoma" w:hAnsi="Tahoma" w:eastAsia="Andale Sans UI" w:cs="Tahoma"/>
      <w:kern w:val="2"/>
      <w:sz w:val="16"/>
      <w:szCs w:val="16"/>
      <w:lang w:val="de-DE" w:eastAsia="ja-JP" w:bidi="fa-IR"/>
    </w:rPr>
  </w:style>
  <w:style w:type="paragraph" w:styleId="StopkaCopyright" w:customStyle="1">
    <w:name w:val="Stopka Copyright"/>
    <w:basedOn w:val="Normal"/>
    <w:qFormat/>
    <w:rsid w:val="00245292"/>
    <w:pPr>
      <w:jc w:val="both"/>
    </w:pPr>
    <w:rPr>
      <w:rFonts w:ascii="Roboto" w:hAnsi="Roboto" w:eastAsia="Calibri"/>
      <w:iCs/>
      <w:color w:val="000000"/>
      <w:sz w:val="16"/>
      <w:szCs w:val="18"/>
      <w:lang w:val="pl-PL"/>
    </w:rPr>
  </w:style>
  <w:style w:type="paragraph" w:styleId="Revision">
    <w:name w:val="Revision"/>
    <w:uiPriority w:val="99"/>
    <w:semiHidden/>
    <w:qFormat/>
    <w:rsid w:val="00461eb3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paragraph" w:styleId="Pa20" w:customStyle="1">
    <w:name w:val="Pa20"/>
    <w:basedOn w:val="Normal"/>
    <w:next w:val="Normal"/>
    <w:uiPriority w:val="99"/>
    <w:qFormat/>
    <w:rsid w:val="003b1545"/>
    <w:pPr>
      <w:spacing w:lineRule="atLeast" w:line="171"/>
    </w:pPr>
    <w:rPr>
      <w:rFonts w:ascii="Humanst521EU" w:hAnsi="Humanst521EU" w:eastAsia="Calibri" w:cs="" w:cstheme="minorBidi" w:eastAsiaTheme="minorHAnsi"/>
      <w:lang w:val="pl-PL"/>
    </w:rPr>
  </w:style>
  <w:style w:type="paragraph" w:styleId="Pa21" w:customStyle="1">
    <w:name w:val="Pa21"/>
    <w:basedOn w:val="Normal"/>
    <w:next w:val="Normal"/>
    <w:uiPriority w:val="99"/>
    <w:qFormat/>
    <w:rsid w:val="003b1545"/>
    <w:pPr>
      <w:spacing w:lineRule="atLeast" w:line="171"/>
    </w:pPr>
    <w:rPr>
      <w:rFonts w:ascii="Humanst521EU" w:hAnsi="Humanst521EU" w:eastAsia="Calibri" w:cs="" w:cstheme="minorBidi" w:eastAsiaTheme="minorHAnsi"/>
      <w:lang w:val="pl-PL"/>
    </w:rPr>
  </w:style>
  <w:style w:type="paragraph" w:styleId="Default" w:customStyle="1">
    <w:name w:val="Default"/>
    <w:qFormat/>
    <w:rsid w:val="003b1545"/>
    <w:pPr>
      <w:widowControl/>
      <w:bidi w:val="0"/>
      <w:spacing w:before="0" w:after="0"/>
      <w:jc w:val="left"/>
    </w:pPr>
    <w:rPr>
      <w:rFonts w:ascii="Humanst521EU" w:hAnsi="Humanst521EU" w:eastAsia="Calibri" w:cs="Humanst521EU" w:eastAsiaTheme="minorHAnsi"/>
      <w:color w:val="000000"/>
      <w:kern w:val="0"/>
      <w:sz w:val="24"/>
      <w:szCs w:val="24"/>
      <w:lang w:eastAsia="en-US" w:val="pl-PL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A80115-4EC4-4202-88C4-6E6420A07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LibreOffice/26.2.5.2$Windows_X86_64 LibreOffice_project/cd7284b4cbbfeb507e630c1aac019f4157393acb</Application>
  <AppVersion>15.0000</AppVersion>
  <Pages>7</Pages>
  <Words>2096</Words>
  <Characters>13313</Characters>
  <CharactersWithSpaces>15057</CharactersWithSpaces>
  <Paragraphs>277</Paragraphs>
  <Company>Nowa Era Sp. z o.o.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2024-08-07T21:16:00Z</dcterms:created>
  <dc:creator>a.detka</dc:creator>
  <dc:description/>
  <dc:language>pl-PL</dc:language>
  <cp:lastModifiedBy/>
  <cp:lastPrinted>2019-05-20T05:31:00Z</cp:lastPrinted>
  <dcterms:modified xsi:type="dcterms:W3CDTF">2026-08-24T13:54:00Z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